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4DFF8" w14:textId="77777777" w:rsidR="000F70A3" w:rsidRPr="000F70A3" w:rsidRDefault="000F70A3" w:rsidP="000F70A3">
      <w:pPr>
        <w:pStyle w:val="11MaintitlePrelimsPrelimsstyles"/>
      </w:pPr>
      <w:bookmarkStart w:id="0" w:name="_GoBack"/>
      <w:bookmarkEnd w:id="0"/>
      <w:commentRangeStart w:id="1"/>
      <w:r w:rsidRPr="000F70A3">
        <w:t>The early use of Antibiotics for At Risk CHildren with InfluEnza in Primary Care (the ARCHIE programme)</w:t>
      </w:r>
      <w:commentRangeEnd w:id="1"/>
      <w:r w:rsidRPr="000F70A3">
        <w:rPr>
          <w:sz w:val="16"/>
          <w:szCs w:val="16"/>
        </w:rPr>
        <w:commentReference w:id="1"/>
      </w:r>
    </w:p>
    <w:p w14:paraId="77D0D999" w14:textId="710A255D" w:rsidR="000F70A3" w:rsidRPr="000F70A3" w:rsidRDefault="000F70A3" w:rsidP="000F70A3">
      <w:pPr>
        <w:pStyle w:val="13TitlepageauthorsPrelimsPrelimsstyles"/>
        <w:rPr>
          <w:vertAlign w:val="superscript"/>
        </w:rPr>
      </w:pPr>
      <w:r w:rsidRPr="000F70A3">
        <w:t>Dr Kay Wang</w:t>
      </w:r>
      <w:r>
        <w:t>,</w:t>
      </w:r>
      <w:r w:rsidRPr="000F70A3">
        <w:rPr>
          <w:vertAlign w:val="superscript"/>
        </w:rPr>
        <w:t>1</w:t>
      </w:r>
      <w:r w:rsidRPr="000F70A3">
        <w:t xml:space="preserve"> Dr Sharon Tonner</w:t>
      </w:r>
      <w:r>
        <w:t>,</w:t>
      </w:r>
      <w:r w:rsidRPr="000F70A3">
        <w:rPr>
          <w:vertAlign w:val="superscript"/>
        </w:rPr>
        <w:t>1</w:t>
      </w:r>
      <w:r w:rsidRPr="000F70A3">
        <w:t xml:space="preserve"> Professor Malcolm. G Semple</w:t>
      </w:r>
      <w:r>
        <w:t>,</w:t>
      </w:r>
      <w:r w:rsidRPr="000F70A3">
        <w:rPr>
          <w:vertAlign w:val="superscript"/>
        </w:rPr>
        <w:t>2,3</w:t>
      </w:r>
      <w:r w:rsidRPr="000F70A3">
        <w:t xml:space="preserve"> Dr Jane Wolstenholme</w:t>
      </w:r>
      <w:r>
        <w:t>,</w:t>
      </w:r>
      <w:r w:rsidRPr="000F70A3">
        <w:rPr>
          <w:vertAlign w:val="superscript"/>
        </w:rPr>
        <w:t>4</w:t>
      </w:r>
      <w:r w:rsidRPr="000F70A3">
        <w:t xml:space="preserve"> Professor Rafael Perera</w:t>
      </w:r>
      <w:r w:rsidRPr="000F70A3">
        <w:rPr>
          <w:vertAlign w:val="superscript"/>
        </w:rPr>
        <w:t>1</w:t>
      </w:r>
      <w:r w:rsidRPr="000F70A3">
        <w:t xml:space="preserve"> </w:t>
      </w:r>
      <w:r>
        <w:t xml:space="preserve">and </w:t>
      </w:r>
      <w:r w:rsidRPr="000F70A3">
        <w:t>Professor Anthony Harnden</w:t>
      </w:r>
      <w:r w:rsidRPr="000F70A3">
        <w:rPr>
          <w:vertAlign w:val="superscript"/>
        </w:rPr>
        <w:t>1</w:t>
      </w:r>
    </w:p>
    <w:p w14:paraId="07CF864B" w14:textId="411A5D0A" w:rsidR="002D3E37" w:rsidRPr="000F70A3" w:rsidRDefault="002D3E37" w:rsidP="002D3E37">
      <w:pPr>
        <w:pStyle w:val="15TitlepageaddressesPrelimsPrelimsstyles"/>
      </w:pPr>
      <w:r w:rsidRPr="002D3E37">
        <w:rPr>
          <w:vertAlign w:val="superscript"/>
        </w:rPr>
        <w:t>1</w:t>
      </w:r>
      <w:r w:rsidRPr="000F70A3">
        <w:t xml:space="preserve">Nuffield Department of Primary Care Health Sciences, University of Oxford, Radcliffe Observatory Quarter, Woodstock Road, </w:t>
      </w:r>
      <w:r>
        <w:t>Oxford, United Kingdom, OX2 6GG</w:t>
      </w:r>
    </w:p>
    <w:p w14:paraId="3F5F95A8" w14:textId="02BD99F6" w:rsidR="002D3E37" w:rsidRPr="000F70A3" w:rsidRDefault="002D3E37" w:rsidP="002D3E37">
      <w:pPr>
        <w:pStyle w:val="15TitlepageaddressesPrelimsPrelimsstyles"/>
      </w:pPr>
      <w:r w:rsidRPr="002D3E37">
        <w:rPr>
          <w:vertAlign w:val="superscript"/>
        </w:rPr>
        <w:t>2</w:t>
      </w:r>
      <w:r w:rsidRPr="000F70A3">
        <w:t>Health Protection Research Unit in Emerging and Zoonotic Infections, Institute of Infection, Veterinary and Ecological Sciences, Faculty of Health and Life Sciences, University of Liverpool, Liverpool, UK</w:t>
      </w:r>
    </w:p>
    <w:p w14:paraId="50FD2087" w14:textId="6BDBDD26" w:rsidR="002D3E37" w:rsidRPr="000F70A3" w:rsidRDefault="002D3E37" w:rsidP="002D3E37">
      <w:pPr>
        <w:pStyle w:val="15TitlepageaddressesPrelimsPrelimsstyles"/>
      </w:pPr>
      <w:r w:rsidRPr="002D3E37">
        <w:rPr>
          <w:vertAlign w:val="superscript"/>
        </w:rPr>
        <w:t>3</w:t>
      </w:r>
      <w:r w:rsidRPr="000F70A3">
        <w:t>Respiratory Department, Alder Hey Children</w:t>
      </w:r>
      <w:r w:rsidRPr="000F70A3">
        <w:rPr>
          <w:color w:val="00B0F0"/>
        </w:rPr>
        <w:t>’</w:t>
      </w:r>
      <w:r w:rsidRPr="000F70A3">
        <w:t>s Hospital, Liverpool, UK</w:t>
      </w:r>
    </w:p>
    <w:p w14:paraId="19D5B45C" w14:textId="69B13F83" w:rsidR="002D3E37" w:rsidRPr="000F70A3" w:rsidRDefault="002D3E37" w:rsidP="002D3E37">
      <w:pPr>
        <w:pStyle w:val="15TitlepageaddressesPrelimsPrelimsstyles"/>
      </w:pPr>
      <w:r w:rsidRPr="002D3E37">
        <w:rPr>
          <w:vertAlign w:val="superscript"/>
        </w:rPr>
        <w:t>4</w:t>
      </w:r>
      <w:r w:rsidRPr="000F70A3">
        <w:t xml:space="preserve">Health Economics Research Centre Nuffield Department of Population Health, University of Oxford, Richard Doll Building, Old Road Campus, </w:t>
      </w:r>
      <w:r>
        <w:t>Oxford, United Kingdom, OX3 7LF</w:t>
      </w:r>
    </w:p>
    <w:p w14:paraId="2238BEBE" w14:textId="6992DCCD" w:rsidR="000F70A3" w:rsidRPr="000F70A3" w:rsidRDefault="000F70A3" w:rsidP="000F70A3">
      <w:pPr>
        <w:pStyle w:val="162TitlepagecorrespondingauthorPrelimsstyles"/>
      </w:pPr>
      <w:r>
        <w:t>*Corresponding author</w:t>
      </w:r>
    </w:p>
    <w:p w14:paraId="75FA31BF" w14:textId="54380CD1" w:rsidR="000F70A3" w:rsidRPr="00330FAC" w:rsidRDefault="000F70A3" w:rsidP="000F70A3">
      <w:pPr>
        <w:pStyle w:val="161TitlepagecompetinginterestsPrelimsstyles"/>
        <w:rPr>
          <w:rFonts w:cs="Calibri Light"/>
        </w:rPr>
      </w:pPr>
      <w:r w:rsidRPr="00DD6FCF">
        <w:rPr>
          <w:b/>
          <w:bCs/>
        </w:rPr>
        <w:t>Declared conflict of interest of authors:</w:t>
      </w:r>
      <w:r w:rsidRPr="002D3E37">
        <w:t xml:space="preserve"> </w:t>
      </w:r>
      <w:r w:rsidRPr="000F70A3">
        <w:t xml:space="preserve">Dr Wang reports grants from NIHR Academic Clinical Lectureship, during the conduct of the study. </w:t>
      </w:r>
      <w:commentRangeStart w:id="2"/>
      <w:r w:rsidRPr="000F70A3">
        <w:t>Dr. Perera reports grants from NIHR Programme Grants for Applied Research (RP-P</w:t>
      </w:r>
      <w:r w:rsidRPr="000F70A3">
        <w:rPr>
          <w:color w:val="00B0F0"/>
        </w:rPr>
        <w:t>G-1</w:t>
      </w:r>
      <w:r w:rsidRPr="000F70A3">
        <w:t>210</w:t>
      </w:r>
      <w:r w:rsidRPr="000F70A3">
        <w:rPr>
          <w:color w:val="00B0F0"/>
        </w:rPr>
        <w:t>–1</w:t>
      </w:r>
      <w:r w:rsidRPr="000F70A3">
        <w:t>2012), grants from British Heart Foundation (PG/17/49/33099), grants from NIHR School of Primary Care Research (Wittenberg_FR16), grants from NIHR Oxford Biomedical Research Centre (IS-BR</w:t>
      </w:r>
      <w:r w:rsidRPr="000F70A3">
        <w:rPr>
          <w:color w:val="00B0F0"/>
        </w:rPr>
        <w:t>C-1</w:t>
      </w:r>
      <w:r w:rsidRPr="000F70A3">
        <w:t>215</w:t>
      </w:r>
      <w:r w:rsidRPr="000F70A3">
        <w:rPr>
          <w:color w:val="00B0F0"/>
        </w:rPr>
        <w:t>–2</w:t>
      </w:r>
      <w:r w:rsidRPr="000F70A3">
        <w:t>0008), grants from NIHR Community Healthcare MedTech and In Vitro Diagnostics Co-operative (MI</w:t>
      </w:r>
      <w:r w:rsidRPr="000F70A3">
        <w:rPr>
          <w:color w:val="00B0F0"/>
        </w:rPr>
        <w:t>C-2</w:t>
      </w:r>
      <w:r w:rsidRPr="000F70A3">
        <w:t>016</w:t>
      </w:r>
      <w:r w:rsidRPr="000F70A3">
        <w:rPr>
          <w:color w:val="00B0F0"/>
        </w:rPr>
        <w:t>–0</w:t>
      </w:r>
      <w:r w:rsidRPr="000F70A3">
        <w:t>18), during the conduct of the study; and Member of of the HTA commissioning committee between 2008</w:t>
      </w:r>
      <w:r w:rsidRPr="000F70A3">
        <w:rPr>
          <w:color w:val="00B0F0"/>
        </w:rPr>
        <w:t>–2</w:t>
      </w:r>
      <w:r w:rsidR="002D3E37">
        <w:t>012</w:t>
      </w:r>
      <w:r w:rsidRPr="000F70A3">
        <w:t xml:space="preserve">. </w:t>
      </w:r>
      <w:commentRangeEnd w:id="2"/>
      <w:r w:rsidRPr="000F70A3">
        <w:rPr>
          <w:sz w:val="16"/>
          <w:szCs w:val="16"/>
        </w:rPr>
        <w:commentReference w:id="2"/>
      </w:r>
      <w:r w:rsidRPr="000F70A3">
        <w:t xml:space="preserve">Professor Harnden reports in his role as Deputy Chairman of the Joint Committee for Vaccination and </w:t>
      </w:r>
      <w:r w:rsidRPr="00330FAC">
        <w:t>Immunisation he was involved in the decision to recommend the use of the Live Attenuated Influenza vaccine in school-age children. Professor Semple reports that during the planning stages of ARCHE he held grants from NIHR (</w:t>
      </w:r>
      <w:r w:rsidRPr="00330FAC">
        <w:rPr>
          <w:rFonts w:cs="Calibri Light"/>
        </w:rPr>
        <w:t>Bronchiolitis Endotracheal Surfactant Study</w:t>
      </w:r>
      <w:r w:rsidRPr="00330FAC">
        <w:rPr>
          <w:rFonts w:cs="Calibri Light"/>
          <w:color w:val="00B0F0"/>
        </w:rPr>
        <w:t xml:space="preserve"> – </w:t>
      </w:r>
      <w:r w:rsidRPr="00330FAC">
        <w:rPr>
          <w:rFonts w:cs="Calibri Light"/>
          <w:color w:val="242424"/>
          <w:shd w:val="clear" w:color="auto" w:fill="FFFFFF"/>
        </w:rPr>
        <w:t>15/21/01</w:t>
      </w:r>
      <w:r w:rsidRPr="00330FAC">
        <w:rPr>
          <w:rFonts w:cs="Calibri Light"/>
        </w:rPr>
        <w:t>)</w:t>
      </w:r>
      <w:r w:rsidRPr="00330FAC">
        <w:t xml:space="preserve">, Medical Research </w:t>
      </w:r>
      <w:r w:rsidRPr="00330FAC">
        <w:rPr>
          <w:highlight w:val="magenta"/>
        </w:rPr>
        <w:t>Council</w:t>
      </w:r>
      <w:r w:rsidRPr="00330FAC">
        <w:t xml:space="preserve"> UK and </w:t>
      </w:r>
      <w:r w:rsidRPr="00330FAC">
        <w:rPr>
          <w:rFonts w:cs="Calibri Light"/>
        </w:rPr>
        <w:t>Health Protection Research Unit in Emerging &amp; Zoonotic Infections, University of Liverpool. He is currently an independent external and non-remunerated member of Pfizer</w:t>
      </w:r>
      <w:r w:rsidRPr="00330FAC">
        <w:rPr>
          <w:rFonts w:cs="Calibri Light"/>
          <w:color w:val="00B0F0"/>
        </w:rPr>
        <w:t>’</w:t>
      </w:r>
      <w:r w:rsidRPr="00330FAC">
        <w:rPr>
          <w:rFonts w:cs="Calibri Light"/>
        </w:rPr>
        <w:t xml:space="preserve">s External </w:t>
      </w:r>
      <w:r w:rsidRPr="00330FAC">
        <w:rPr>
          <w:rFonts w:cs="Calibri Light"/>
          <w:highlight w:val="magenta"/>
        </w:rPr>
        <w:t>Data</w:t>
      </w:r>
      <w:r w:rsidRPr="00330FAC">
        <w:rPr>
          <w:rFonts w:cs="Calibri Light"/>
        </w:rPr>
        <w:t xml:space="preserve"> Monitoring Committee for their mRNA vaccine </w:t>
      </w:r>
      <w:r w:rsidRPr="00330FAC">
        <w:rPr>
          <w:rFonts w:cs="Calibri Light"/>
          <w:highlight w:val="magenta"/>
        </w:rPr>
        <w:t>program</w:t>
      </w:r>
      <w:r w:rsidRPr="00330FAC">
        <w:rPr>
          <w:rFonts w:cs="Calibri Light"/>
        </w:rPr>
        <w:t>(s) and Chair of Infectious Disease Scientific Advisory Board for Integrum Scientific LLC, Greensboro, NC, USA of which he is also a minority owner. He is a non-remunerated independent member of HMG UK Scientific Advisory Group for Emergencies (SAGE), COVI</w:t>
      </w:r>
      <w:r w:rsidRPr="00330FAC">
        <w:rPr>
          <w:rFonts w:cs="Calibri Light"/>
          <w:color w:val="00B0F0"/>
        </w:rPr>
        <w:t>D-1</w:t>
      </w:r>
      <w:r w:rsidRPr="00330FAC">
        <w:rPr>
          <w:rFonts w:cs="Calibri Light"/>
        </w:rPr>
        <w:t>9 Response and HMG UK New Emerging Respiratory Virus Threats Advisory Group (NERVTAG).</w:t>
      </w:r>
    </w:p>
    <w:p w14:paraId="52141870" w14:textId="7CFABB33" w:rsidR="000F70A3" w:rsidRDefault="000F70A3" w:rsidP="00330FAC">
      <w:pPr>
        <w:pStyle w:val="43PrelimtitleHeadingsHeadingstyles"/>
        <w:rPr>
          <w:lang w:eastAsia="en-GB"/>
        </w:rPr>
      </w:pPr>
      <w:r w:rsidRPr="000F70A3">
        <w:rPr>
          <w:lang w:eastAsia="en-GB"/>
        </w:rPr>
        <w:t>Abstract</w:t>
      </w:r>
    </w:p>
    <w:p w14:paraId="340FD2ED" w14:textId="7F578906" w:rsidR="00330FAC" w:rsidRPr="000F70A3" w:rsidRDefault="00330FAC" w:rsidP="0059567E">
      <w:pPr>
        <w:pStyle w:val="151AbstracttitlePrelimsPrelimsstyles"/>
      </w:pPr>
      <w:r w:rsidRPr="000F70A3">
        <w:lastRenderedPageBreak/>
        <w:t>The early use of Antibiotics for At Risk CHildren with InfluEnza in Primary Care (the ARCHIE programme)</w:t>
      </w:r>
    </w:p>
    <w:p w14:paraId="5E1B9760" w14:textId="77777777" w:rsidR="00330FAC" w:rsidRPr="000F70A3" w:rsidRDefault="00330FAC" w:rsidP="0059567E">
      <w:pPr>
        <w:pStyle w:val="152AbstractauthorsPrelimsPrelimsstyles"/>
        <w:rPr>
          <w:vertAlign w:val="superscript"/>
        </w:rPr>
      </w:pPr>
      <w:r w:rsidRPr="000F70A3">
        <w:t>Dr Kay Wang</w:t>
      </w:r>
      <w:r>
        <w:t>,</w:t>
      </w:r>
      <w:r w:rsidRPr="000F70A3">
        <w:rPr>
          <w:vertAlign w:val="superscript"/>
        </w:rPr>
        <w:t>1</w:t>
      </w:r>
      <w:r w:rsidRPr="000F70A3">
        <w:t xml:space="preserve"> Dr Sharon Tonner</w:t>
      </w:r>
      <w:r>
        <w:t>,</w:t>
      </w:r>
      <w:r w:rsidRPr="000F70A3">
        <w:rPr>
          <w:vertAlign w:val="superscript"/>
        </w:rPr>
        <w:t>1</w:t>
      </w:r>
      <w:r w:rsidRPr="000F70A3">
        <w:t xml:space="preserve"> Professor Malcolm. G Semple</w:t>
      </w:r>
      <w:r>
        <w:t>,</w:t>
      </w:r>
      <w:r w:rsidRPr="000F70A3">
        <w:rPr>
          <w:vertAlign w:val="superscript"/>
        </w:rPr>
        <w:t>2,3</w:t>
      </w:r>
      <w:r w:rsidRPr="000F70A3">
        <w:t xml:space="preserve"> Dr Jane Wolstenholme</w:t>
      </w:r>
      <w:r>
        <w:t>,</w:t>
      </w:r>
      <w:r w:rsidRPr="000F70A3">
        <w:rPr>
          <w:vertAlign w:val="superscript"/>
        </w:rPr>
        <w:t>4</w:t>
      </w:r>
      <w:r w:rsidRPr="000F70A3">
        <w:t xml:space="preserve"> Professor Rafael Perera</w:t>
      </w:r>
      <w:r w:rsidRPr="000F70A3">
        <w:rPr>
          <w:vertAlign w:val="superscript"/>
        </w:rPr>
        <w:t>1</w:t>
      </w:r>
      <w:r w:rsidRPr="000F70A3">
        <w:t xml:space="preserve"> </w:t>
      </w:r>
      <w:r>
        <w:t xml:space="preserve">and </w:t>
      </w:r>
      <w:r w:rsidRPr="000F70A3">
        <w:t>Professor Anthony Harnden</w:t>
      </w:r>
      <w:r w:rsidRPr="000F70A3">
        <w:rPr>
          <w:vertAlign w:val="superscript"/>
        </w:rPr>
        <w:t>1</w:t>
      </w:r>
    </w:p>
    <w:p w14:paraId="638B3070" w14:textId="77777777" w:rsidR="00330FAC" w:rsidRPr="000F70A3" w:rsidRDefault="00330FAC" w:rsidP="0059567E">
      <w:pPr>
        <w:pStyle w:val="153AbstractaddressesPrelimsPrelimsstyles"/>
      </w:pPr>
      <w:r w:rsidRPr="002D3E37">
        <w:rPr>
          <w:vertAlign w:val="superscript"/>
        </w:rPr>
        <w:t>1</w:t>
      </w:r>
      <w:r w:rsidRPr="000F70A3">
        <w:t xml:space="preserve">Nuffield Department of Primary Care Health Sciences, University of Oxford, Radcliffe Observatory Quarter, Woodstock Road, </w:t>
      </w:r>
      <w:r>
        <w:t>Oxford, United Kingdom, OX2 6GG</w:t>
      </w:r>
    </w:p>
    <w:p w14:paraId="6DCE2E79" w14:textId="77777777" w:rsidR="00330FAC" w:rsidRPr="000F70A3" w:rsidRDefault="00330FAC" w:rsidP="0059567E">
      <w:pPr>
        <w:pStyle w:val="153AbstractaddressesPrelimsPrelimsstyles"/>
      </w:pPr>
      <w:r w:rsidRPr="002D3E37">
        <w:rPr>
          <w:vertAlign w:val="superscript"/>
        </w:rPr>
        <w:t>2</w:t>
      </w:r>
      <w:r w:rsidRPr="000F70A3">
        <w:t>Health Protection Research Unit in Emerging and Zoonotic Infections, Institute of Infection, Veterinary and Ecological Sciences, Faculty of Health and Life Sciences, University of Liverpool, Liverpool, UK</w:t>
      </w:r>
    </w:p>
    <w:p w14:paraId="19D9C67B" w14:textId="77777777" w:rsidR="00330FAC" w:rsidRPr="000F70A3" w:rsidRDefault="00330FAC" w:rsidP="0059567E">
      <w:pPr>
        <w:pStyle w:val="153AbstractaddressesPrelimsPrelimsstyles"/>
      </w:pPr>
      <w:r w:rsidRPr="002D3E37">
        <w:rPr>
          <w:vertAlign w:val="superscript"/>
        </w:rPr>
        <w:t>3</w:t>
      </w:r>
      <w:r w:rsidRPr="000F70A3">
        <w:t>Respiratory Department, Alder Hey Children</w:t>
      </w:r>
      <w:r w:rsidRPr="000F70A3">
        <w:rPr>
          <w:color w:val="00B0F0"/>
        </w:rPr>
        <w:t>’</w:t>
      </w:r>
      <w:r w:rsidRPr="000F70A3">
        <w:t>s Hospital, Liverpool, UK</w:t>
      </w:r>
    </w:p>
    <w:p w14:paraId="52A00D29" w14:textId="77777777" w:rsidR="00330FAC" w:rsidRPr="000F70A3" w:rsidRDefault="00330FAC" w:rsidP="0059567E">
      <w:pPr>
        <w:pStyle w:val="153AbstractaddressesPrelimsPrelimsstyles"/>
      </w:pPr>
      <w:r w:rsidRPr="002D3E37">
        <w:rPr>
          <w:vertAlign w:val="superscript"/>
        </w:rPr>
        <w:t>4</w:t>
      </w:r>
      <w:r w:rsidRPr="000F70A3">
        <w:t xml:space="preserve">Health Economics Research Centre Nuffield Department of Population Health, University of Oxford, Richard Doll Building, Old Road Campus, </w:t>
      </w:r>
      <w:r>
        <w:t>Oxford, United Kingdom, OX3 7LF</w:t>
      </w:r>
    </w:p>
    <w:p w14:paraId="6125CBBD" w14:textId="77777777" w:rsidR="00330FAC" w:rsidRPr="000F70A3" w:rsidRDefault="00330FAC" w:rsidP="0059567E">
      <w:pPr>
        <w:pStyle w:val="155AbstracttextcorrespondingauthorPrelimsstyles"/>
      </w:pPr>
      <w:r>
        <w:t>*Corresponding author</w:t>
      </w:r>
      <w:r>
        <w:t> </w:t>
      </w:r>
      <w:r w:rsidRPr="000F70A3">
        <w:t>anthony.harnden@phc.ox.ac.uk</w:t>
      </w:r>
    </w:p>
    <w:p w14:paraId="0E6F10AE" w14:textId="363DB5A4" w:rsidR="000F70A3" w:rsidRPr="000F70A3" w:rsidRDefault="000F70A3" w:rsidP="005D7A8D">
      <w:pPr>
        <w:pStyle w:val="154AbstracttextfoPrelimsPrelimsstyles"/>
        <w:rPr>
          <w:color w:val="333333"/>
          <w:sz w:val="23"/>
          <w:szCs w:val="23"/>
          <w:lang w:eastAsia="en-GB"/>
        </w:rPr>
      </w:pPr>
      <w:r w:rsidRPr="005D7A8D">
        <w:rPr>
          <w:b/>
        </w:rPr>
        <w:t>Background</w:t>
      </w:r>
      <w:r w:rsidR="0059567E" w:rsidRPr="005D7A8D">
        <w:rPr>
          <w:b/>
        </w:rPr>
        <w:t>:</w:t>
      </w:r>
      <w:r w:rsidR="0059567E" w:rsidRPr="000F70A3">
        <w:rPr>
          <w:rFonts w:eastAsia="Calibri"/>
        </w:rPr>
        <w:t xml:space="preserve"> </w:t>
      </w:r>
      <w:r w:rsidRPr="000F70A3">
        <w:rPr>
          <w:rFonts w:eastAsia="Calibri"/>
        </w:rPr>
        <w:t>Influenza and influenza-like illness (ILI) place significant burden on the NHS. Children with underlying health conditions are vulnerable to developing bacterial complications.</w:t>
      </w:r>
    </w:p>
    <w:p w14:paraId="7C2F006B" w14:textId="3BCF3B61" w:rsidR="000F70A3" w:rsidRPr="000F70A3" w:rsidRDefault="000F70A3" w:rsidP="005D7A8D">
      <w:pPr>
        <w:pStyle w:val="154AbstracttextfoPrelimsPrelimsstyles"/>
        <w:rPr>
          <w:rFonts w:eastAsia="Calibri"/>
        </w:rPr>
      </w:pPr>
      <w:r w:rsidRPr="005D7A8D">
        <w:rPr>
          <w:b/>
        </w:rPr>
        <w:t>Objective(s)</w:t>
      </w:r>
      <w:r w:rsidR="0059567E" w:rsidRPr="005D7A8D">
        <w:rPr>
          <w:b/>
        </w:rPr>
        <w:t>:</w:t>
      </w:r>
      <w:r w:rsidR="0059567E" w:rsidRPr="000F70A3">
        <w:rPr>
          <w:rFonts w:eastAsia="Calibri"/>
        </w:rPr>
        <w:t xml:space="preserve"> </w:t>
      </w:r>
      <w:r w:rsidRPr="000F70A3">
        <w:rPr>
          <w:rFonts w:eastAsia="Calibri"/>
        </w:rPr>
        <w:t xml:space="preserve">To strengthen the evidence base underlying antibiotic use in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with ILI.</w:t>
      </w:r>
    </w:p>
    <w:p w14:paraId="7793F2C0" w14:textId="32F07C4B" w:rsidR="000F70A3" w:rsidRPr="000F70A3" w:rsidRDefault="000F70A3" w:rsidP="005D7A8D">
      <w:pPr>
        <w:pStyle w:val="154AbstracttextfoPrelimsPrelimsstyles"/>
        <w:rPr>
          <w:rFonts w:eastAsia="Calibri"/>
        </w:rPr>
      </w:pPr>
      <w:r w:rsidRPr="005D7A8D">
        <w:rPr>
          <w:b/>
        </w:rPr>
        <w:t>Design</w:t>
      </w:r>
      <w:r w:rsidR="0059567E" w:rsidRPr="005D7A8D">
        <w:rPr>
          <w:b/>
        </w:rPr>
        <w:t>:</w:t>
      </w:r>
      <w:r w:rsidR="0059567E" w:rsidRPr="000F70A3">
        <w:rPr>
          <w:rFonts w:eastAsia="Calibri"/>
        </w:rPr>
        <w:t xml:space="preserve"> </w:t>
      </w:r>
      <w:r w:rsidRPr="000F70A3">
        <w:rPr>
          <w:rFonts w:eastAsia="Calibri"/>
        </w:rPr>
        <w:t xml:space="preserve">Work packages exploring previously published literature (work package a), attitudes of parents and GPs to ILI and antibiotics in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(work package b), a clinical trial to assess the effectiveness of early co-amoxiclav use at reducing re-consultation </w:t>
      </w:r>
      <w:r w:rsidRPr="000F70A3">
        <w:rPr>
          <w:rFonts w:eastAsia="Calibri"/>
          <w:highlight w:val="magenta"/>
        </w:rPr>
        <w:t>due to</w:t>
      </w:r>
      <w:r w:rsidRPr="000F70A3">
        <w:rPr>
          <w:rFonts w:eastAsia="Calibri"/>
        </w:rPr>
        <w:t xml:space="preserve"> clinical deterioration (work package c), a nested sub-study to examine indicators of antimicrobial resistance (work package d) and within-trial economic evaluation and clinical risk prediction analysis (work package e).</w:t>
      </w:r>
    </w:p>
    <w:p w14:paraId="55FC2625" w14:textId="4825E56F" w:rsidR="000F70A3" w:rsidRPr="000F70A3" w:rsidRDefault="000F70A3" w:rsidP="005D7A8D">
      <w:pPr>
        <w:pStyle w:val="154AbstracttextfoPrelimsPrelimsstyles"/>
        <w:rPr>
          <w:rFonts w:eastAsia="Calibri"/>
        </w:rPr>
      </w:pPr>
      <w:r w:rsidRPr="005D7A8D">
        <w:rPr>
          <w:b/>
        </w:rPr>
        <w:t>Setting</w:t>
      </w:r>
      <w:r w:rsidR="0059567E" w:rsidRPr="005D7A8D">
        <w:rPr>
          <w:b/>
        </w:rPr>
        <w:t>:</w:t>
      </w:r>
      <w:r w:rsidR="0059567E" w:rsidRPr="000F70A3">
        <w:rPr>
          <w:rFonts w:eastAsia="Calibri"/>
        </w:rPr>
        <w:t xml:space="preserve"> </w:t>
      </w:r>
      <w:r w:rsidRPr="000F70A3">
        <w:rPr>
          <w:rFonts w:eastAsia="Calibri"/>
        </w:rPr>
        <w:t>Interviews were conducted by telephone with GPs across the UK and parents/guardians in England (work package b). We conducted the clinical trial (work package c and nested work packages d and e) in general practices and ambulatory care services in England and Wales.</w:t>
      </w:r>
    </w:p>
    <w:p w14:paraId="31FFCBFF" w14:textId="3262F816" w:rsidR="000F70A3" w:rsidRPr="000F70A3" w:rsidRDefault="000F70A3" w:rsidP="005D7A8D">
      <w:pPr>
        <w:pStyle w:val="154AbstracttextfoPrelimsPrelimsstyles"/>
        <w:rPr>
          <w:rFonts w:eastAsia="Calibri"/>
        </w:rPr>
      </w:pPr>
      <w:r w:rsidRPr="005D7A8D">
        <w:rPr>
          <w:b/>
        </w:rPr>
        <w:t>Participants</w:t>
      </w:r>
      <w:r w:rsidR="0059567E" w:rsidRPr="005D7A8D">
        <w:rPr>
          <w:b/>
        </w:rPr>
        <w:t>:</w:t>
      </w:r>
      <w:r w:rsidR="0059567E" w:rsidRPr="000F70A3">
        <w:rPr>
          <w:rFonts w:eastAsia="Calibri"/>
        </w:rPr>
        <w:t xml:space="preserve"> </w:t>
      </w:r>
      <w:r w:rsidRPr="000F70A3">
        <w:rPr>
          <w:rFonts w:eastAsia="Calibri"/>
        </w:rPr>
        <w:t xml:space="preserve">GPs and parents/guardians of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who previously had ILI participated in work package b.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with ILI aged six months to 12 years participated in work packages c and e and optionally in work package d.</w:t>
      </w:r>
    </w:p>
    <w:p w14:paraId="1C7CFE23" w14:textId="593D6416" w:rsidR="000F70A3" w:rsidRPr="000F70A3" w:rsidRDefault="000F70A3" w:rsidP="005D7A8D">
      <w:pPr>
        <w:pStyle w:val="154AbstracttextfoPrelimsPrelimsstyles"/>
      </w:pPr>
      <w:r w:rsidRPr="005D7A8D">
        <w:rPr>
          <w:b/>
        </w:rPr>
        <w:t>Interventions</w:t>
      </w:r>
      <w:r w:rsidR="0059567E" w:rsidRPr="005D7A8D">
        <w:rPr>
          <w:b/>
        </w:rPr>
        <w:t>:</w:t>
      </w:r>
      <w:r w:rsidR="0059567E" w:rsidRPr="000F70A3">
        <w:t xml:space="preserve"> </w:t>
      </w:r>
      <w:r w:rsidRPr="000F70A3">
        <w:t xml:space="preserve">A 5-day course of co-amoxiclav 400/57. With dosing regimens based on </w:t>
      </w:r>
      <w:r w:rsidRPr="000F70A3">
        <w:rPr>
          <w:i/>
          <w:color w:val="00B0F0"/>
        </w:rPr>
        <w:t xml:space="preserve">British National Formulary </w:t>
      </w:r>
      <w:r w:rsidRPr="000F70A3">
        <w:t>(BNF) guidance.</w:t>
      </w:r>
    </w:p>
    <w:p w14:paraId="1B0B7130" w14:textId="77777777" w:rsidR="005D7A8D" w:rsidRPr="005D7A8D" w:rsidRDefault="000F70A3" w:rsidP="005D7A8D">
      <w:pPr>
        <w:pStyle w:val="154AbstracttextfoPrelimsPrelimsstyles"/>
        <w:rPr>
          <w:b/>
        </w:rPr>
      </w:pPr>
      <w:r w:rsidRPr="005D7A8D">
        <w:rPr>
          <w:b/>
        </w:rPr>
        <w:t>Main Outcome Measures</w:t>
      </w:r>
    </w:p>
    <w:p w14:paraId="46D48BEE" w14:textId="072B1684" w:rsidR="000F70A3" w:rsidRPr="000F70A3" w:rsidRDefault="000F70A3" w:rsidP="005D7A8D">
      <w:pPr>
        <w:pStyle w:val="154AbstracttextfoPrelimsPrelimsstyles"/>
      </w:pPr>
      <w:r w:rsidRPr="000F70A3">
        <w:t>Work package a: hospital admission.</w:t>
      </w:r>
    </w:p>
    <w:p w14:paraId="63091715" w14:textId="77777777" w:rsidR="000F70A3" w:rsidRPr="000F70A3" w:rsidRDefault="000F70A3" w:rsidP="005D7A8D">
      <w:pPr>
        <w:pStyle w:val="154AbstracttextfoPrelimsPrelimsstyles"/>
      </w:pPr>
      <w:r w:rsidRPr="000F70A3">
        <w:t>Work package b: findings from semi-structured interviews with patients and health care professionals.</w:t>
      </w:r>
    </w:p>
    <w:p w14:paraId="6EC76781" w14:textId="77777777" w:rsidR="000F70A3" w:rsidRPr="000F70A3" w:rsidRDefault="000F70A3" w:rsidP="005D7A8D">
      <w:pPr>
        <w:pStyle w:val="154AbstracttextfoPrelimsPrelimsstyles"/>
      </w:pPr>
      <w:r w:rsidRPr="000F70A3">
        <w:t xml:space="preserve">Work package c: proportion of patients who re-consulted </w:t>
      </w:r>
      <w:r w:rsidRPr="000F70A3">
        <w:rPr>
          <w:highlight w:val="magenta"/>
        </w:rPr>
        <w:t>due to</w:t>
      </w:r>
      <w:r w:rsidRPr="000F70A3">
        <w:t xml:space="preserve"> clinical deterioration.</w:t>
      </w:r>
    </w:p>
    <w:p w14:paraId="72DAA8C3" w14:textId="77777777" w:rsidR="000F70A3" w:rsidRPr="000F70A3" w:rsidRDefault="000F70A3" w:rsidP="005D7A8D">
      <w:pPr>
        <w:pStyle w:val="154AbstracttextfoPrelimsPrelimsstyles"/>
      </w:pPr>
      <w:r w:rsidRPr="000F70A3">
        <w:t>Work package d: respiratory bacterial carriage and antimicrobial resistance of potentially pathogenic respiratory tract bacteria at 3, 6, 9 and 12 months.</w:t>
      </w:r>
    </w:p>
    <w:p w14:paraId="49892611" w14:textId="77777777" w:rsidR="000F70A3" w:rsidRPr="000F70A3" w:rsidRDefault="000F70A3" w:rsidP="005D7A8D">
      <w:pPr>
        <w:pStyle w:val="154AbstracttextfoPrelimsPrelimsstyles"/>
      </w:pPr>
      <w:r w:rsidRPr="000F70A3">
        <w:t xml:space="preserve">Work package e: risk factors for re-consultation </w:t>
      </w:r>
      <w:r w:rsidRPr="000F70A3">
        <w:rPr>
          <w:highlight w:val="magenta"/>
        </w:rPr>
        <w:t>due to</w:t>
      </w:r>
      <w:r w:rsidRPr="000F70A3">
        <w:t xml:space="preserve"> clinical deterioration; quality of life (E</w:t>
      </w:r>
      <w:r w:rsidRPr="000F70A3">
        <w:rPr>
          <w:color w:val="00B0F0"/>
        </w:rPr>
        <w:t>Q-5</w:t>
      </w:r>
      <w:r w:rsidRPr="000F70A3">
        <w:t>D-Y), symptoms (Canadian Acute Respiratory Infection and Flu Scale, CARIFS), healthcare use and costs.</w:t>
      </w:r>
    </w:p>
    <w:p w14:paraId="12D0B4BF" w14:textId="7E63ABC2" w:rsidR="000F70A3" w:rsidRPr="000F70A3" w:rsidRDefault="000F70A3" w:rsidP="005D7A8D">
      <w:pPr>
        <w:pStyle w:val="154AbstracttextfoPrelimsPrelimsstyles"/>
      </w:pPr>
      <w:r w:rsidRPr="005D7A8D">
        <w:rPr>
          <w:b/>
        </w:rPr>
        <w:t>Review methods</w:t>
      </w:r>
      <w:r w:rsidR="0059567E" w:rsidRPr="005D7A8D">
        <w:rPr>
          <w:b/>
        </w:rPr>
        <w:t>:</w:t>
      </w:r>
      <w:r w:rsidR="0059567E" w:rsidRPr="000F70A3">
        <w:t xml:space="preserve"> </w:t>
      </w:r>
      <w:r w:rsidRPr="000F70A3">
        <w:t xml:space="preserve">Work package a: We searched </w:t>
      </w:r>
      <w:r w:rsidRPr="000F70A3">
        <w:rPr>
          <w:color w:val="00B0F0"/>
        </w:rPr>
        <w:t>MEDLINE</w:t>
      </w:r>
      <w:r w:rsidRPr="000F70A3">
        <w:t xml:space="preserve"> and </w:t>
      </w:r>
      <w:r w:rsidRPr="000F70A3">
        <w:rPr>
          <w:color w:val="00B0F0"/>
        </w:rPr>
        <w:t>MEDLINE</w:t>
      </w:r>
      <w:r w:rsidRPr="000F70A3">
        <w:t xml:space="preserve"> In Process, </w:t>
      </w:r>
      <w:r w:rsidRPr="000F70A3">
        <w:rPr>
          <w:color w:val="00B0F0"/>
        </w:rPr>
        <w:t>EMBASE</w:t>
      </w:r>
      <w:r w:rsidRPr="000F70A3">
        <w:t xml:space="preserve">, Science Citation Index, and CINAHL databases until </w:t>
      </w:r>
      <w:r w:rsidRPr="000F70A3">
        <w:rPr>
          <w:color w:val="00B0F0"/>
        </w:rPr>
        <w:t>3rd</w:t>
      </w:r>
      <w:r w:rsidRPr="000F70A3">
        <w:t xml:space="preserve"> April 2013 with no language restrictions and requested relevant unpublished </w:t>
      </w:r>
      <w:r w:rsidRPr="000F70A3">
        <w:rPr>
          <w:highlight w:val="magenta"/>
        </w:rPr>
        <w:t>data</w:t>
      </w:r>
      <w:r w:rsidRPr="000F70A3">
        <w:t>. We included studies involving children up to 18 years of age with influenza or ILI from primary or ambulatory care settings. We used univariable meta-analysis methods to calculate odds ratios with 95% confidence intervals for individual risk factors. We reported our systematic review according to the PRISMA 2009 statement.</w:t>
      </w:r>
    </w:p>
    <w:p w14:paraId="428B490B" w14:textId="412835BF" w:rsidR="000F70A3" w:rsidRPr="000F70A3" w:rsidRDefault="000F70A3" w:rsidP="005D7A8D">
      <w:pPr>
        <w:pStyle w:val="154AbstracttextfoPrelimsPrelimsstyles"/>
        <w:rPr>
          <w:rFonts w:ascii="Arial" w:hAnsi="Arial" w:cs="Arial"/>
          <w:b/>
          <w:color w:val="333333"/>
          <w:sz w:val="23"/>
          <w:szCs w:val="23"/>
          <w:lang w:eastAsia="en-GB"/>
        </w:rPr>
      </w:pPr>
      <w:r w:rsidRPr="005D7A8D">
        <w:rPr>
          <w:b/>
        </w:rPr>
        <w:t>Results</w:t>
      </w:r>
      <w:r w:rsidR="0059567E" w:rsidRPr="005D7A8D">
        <w:rPr>
          <w:b/>
        </w:rPr>
        <w:t>:</w:t>
      </w:r>
      <w:r w:rsidR="0059567E" w:rsidRPr="000F70A3">
        <w:t xml:space="preserve"> </w:t>
      </w:r>
      <w:r w:rsidRPr="000F70A3">
        <w:t xml:space="preserve">Work package a analysed </w:t>
      </w:r>
      <w:r w:rsidRPr="000F70A3">
        <w:rPr>
          <w:highlight w:val="magenta"/>
        </w:rPr>
        <w:t>data</w:t>
      </w:r>
      <w:r w:rsidRPr="000F70A3">
        <w:t xml:space="preserve"> from 28 articles reporting </w:t>
      </w:r>
      <w:r w:rsidRPr="000F70A3">
        <w:rPr>
          <w:highlight w:val="magenta"/>
        </w:rPr>
        <w:t>data</w:t>
      </w:r>
      <w:r w:rsidRPr="000F70A3">
        <w:t xml:space="preserve"> from 27 studies. Neurological disorders, sickle cell disease, immunosuppression, diabetes, and age younger than 2 years were risk factors for hospital admission. Work package b interviewed 41 GPs and found that decision-making in </w:t>
      </w:r>
      <w:r w:rsidRPr="000F70A3">
        <w:rPr>
          <w:color w:val="00B0F0"/>
        </w:rPr>
        <w:t>‘</w:t>
      </w:r>
      <w:r w:rsidRPr="000F70A3">
        <w:t>at risk</w:t>
      </w:r>
      <w:r w:rsidRPr="000F70A3">
        <w:rPr>
          <w:color w:val="00B0F0"/>
        </w:rPr>
        <w:t>’</w:t>
      </w:r>
      <w:r w:rsidRPr="000F70A3">
        <w:t xml:space="preserve"> children with ILI varies considerably. Parents/guardians were interviewed for work package b and spoke of how quickly their </w:t>
      </w:r>
      <w:r w:rsidRPr="000F70A3">
        <w:rPr>
          <w:color w:val="00B0F0"/>
        </w:rPr>
        <w:t>‘</w:t>
      </w:r>
      <w:r w:rsidRPr="000F70A3">
        <w:t>at risk</w:t>
      </w:r>
      <w:r w:rsidRPr="000F70A3">
        <w:rPr>
          <w:color w:val="00B0F0"/>
        </w:rPr>
        <w:t>’</w:t>
      </w:r>
      <w:r w:rsidRPr="000F70A3">
        <w:t xml:space="preserve"> child could deteriorate. They were supportive of antibiotic use while being aware of antimicrobial resistance. The trial (work package c) recruited 271 </w:t>
      </w:r>
      <w:r w:rsidRPr="000F70A3">
        <w:rPr>
          <w:color w:val="00B0F0"/>
        </w:rPr>
        <w:t>‘</w:t>
      </w:r>
      <w:r w:rsidRPr="000F70A3">
        <w:t>at risk</w:t>
      </w:r>
      <w:r w:rsidRPr="000F70A3">
        <w:rPr>
          <w:color w:val="00B0F0"/>
        </w:rPr>
        <w:t>’</w:t>
      </w:r>
      <w:r w:rsidRPr="000F70A3">
        <w:t xml:space="preserve"> children. Primary outcome </w:t>
      </w:r>
      <w:r w:rsidRPr="000F70A3">
        <w:rPr>
          <w:highlight w:val="magenta"/>
        </w:rPr>
        <w:t>data</w:t>
      </w:r>
      <w:r w:rsidRPr="000F70A3">
        <w:t xml:space="preserve"> were available for 265 children. There was no evidence of benefit from treatment with co-amoxiclav vs placebo </w:t>
      </w:r>
      <w:r w:rsidRPr="000F70A3">
        <w:rPr>
          <w:rFonts w:ascii="Calibri" w:hAnsi="Calibri" w:cs="Calibri"/>
        </w:rPr>
        <w:t>(</w:t>
      </w:r>
      <w:r w:rsidRPr="000F70A3">
        <w:t xml:space="preserve">adjusted risk ratio 1.16, 95% confidence interval [CI] 0.75 to 1.80). Work package d collected 285 additional throat swabs over 12 months. At 3 months, </w:t>
      </w:r>
      <w:r w:rsidRPr="000F70A3">
        <w:rPr>
          <w:rFonts w:cs="Calibri"/>
        </w:rPr>
        <w:t xml:space="preserve">the proportion of </w:t>
      </w:r>
      <w:r w:rsidRPr="000F70A3">
        <w:rPr>
          <w:rFonts w:cs="Calibri"/>
          <w:i/>
          <w:iCs/>
        </w:rPr>
        <w:t>Haemophilus Influenzae</w:t>
      </w:r>
      <w:r w:rsidRPr="000F70A3">
        <w:rPr>
          <w:rFonts w:cs="Calibri"/>
        </w:rPr>
        <w:t xml:space="preserve"> isolates was greater in the placebo than co-amoxiclav group (29% vs. 18%). </w:t>
      </w:r>
      <w:r w:rsidRPr="000F70A3">
        <w:t xml:space="preserve">No association was found between antimicrobial resistance and early co-amoxiclav use. No clinical features were significantly associated with risk of re-consultation </w:t>
      </w:r>
      <w:r w:rsidRPr="000F70A3">
        <w:rPr>
          <w:highlight w:val="magenta"/>
        </w:rPr>
        <w:t>due to</w:t>
      </w:r>
      <w:r w:rsidRPr="000F70A3">
        <w:t xml:space="preserve"> clinical deterioration except respiratory rate (coefficient </w:t>
      </w:r>
      <w:r w:rsidRPr="000F70A3">
        <w:rPr>
          <w:rFonts w:cs="Calibri"/>
        </w:rPr>
        <w:t>0</w:t>
      </w:r>
      <w:r w:rsidRPr="000F70A3">
        <w:rPr>
          <w:rFonts w:cs="Calibri"/>
          <w:color w:val="00B0F0"/>
        </w:rPr>
        <w:t>.</w:t>
      </w:r>
      <w:r w:rsidRPr="000F70A3">
        <w:rPr>
          <w:rFonts w:cs="Calibri"/>
        </w:rPr>
        <w:t xml:space="preserve">046, </w:t>
      </w:r>
      <w:r w:rsidRPr="000F70A3">
        <w:t>95% CI</w:t>
      </w:r>
      <w:r w:rsidRPr="000F70A3">
        <w:rPr>
          <w:rFonts w:cs="Calibri"/>
        </w:rPr>
        <w:t xml:space="preserve"> 0</w:t>
      </w:r>
      <w:r w:rsidRPr="000F70A3">
        <w:rPr>
          <w:rFonts w:cs="Calibri"/>
          <w:color w:val="00B0F0"/>
        </w:rPr>
        <w:t>.</w:t>
      </w:r>
      <w:r w:rsidRPr="000F70A3">
        <w:rPr>
          <w:rFonts w:cs="Calibri"/>
        </w:rPr>
        <w:t>010 to 0</w:t>
      </w:r>
      <w:r w:rsidRPr="000F70A3">
        <w:rPr>
          <w:rFonts w:cs="Calibri"/>
          <w:color w:val="00B0F0"/>
        </w:rPr>
        <w:t>.</w:t>
      </w:r>
      <w:r w:rsidRPr="000F70A3">
        <w:rPr>
          <w:rFonts w:cs="Calibri"/>
        </w:rPr>
        <w:t xml:space="preserve">081). Work package e found </w:t>
      </w:r>
      <w:r w:rsidRPr="000F70A3">
        <w:t>no evidence that early co-amoxiclav treatment improves quality of life or reduces healthcare use and costs. Total costs per patient were highly skewed in both groups (co-amoxiclav: median £4, range £4 to £5258; placebo: median £0, range £0 to £5177).</w:t>
      </w:r>
    </w:p>
    <w:p w14:paraId="21025DA0" w14:textId="307551E4" w:rsidR="000F70A3" w:rsidRPr="000F70A3" w:rsidRDefault="000F70A3" w:rsidP="005D7A8D">
      <w:pPr>
        <w:pStyle w:val="154AbstracttextfoPrelimsPrelimsstyles"/>
        <w:rPr>
          <w:rFonts w:eastAsia="Calibri"/>
        </w:rPr>
      </w:pPr>
      <w:r w:rsidRPr="005D7A8D">
        <w:rPr>
          <w:b/>
        </w:rPr>
        <w:t>Limitations</w:t>
      </w:r>
      <w:r w:rsidR="0059567E" w:rsidRPr="005D7A8D">
        <w:rPr>
          <w:b/>
        </w:rPr>
        <w:t>:</w:t>
      </w:r>
      <w:r w:rsidR="0059567E" w:rsidRPr="000F70A3">
        <w:rPr>
          <w:rFonts w:eastAsia="Calibri" w:cs="Calibri"/>
        </w:rPr>
        <w:t xml:space="preserve"> </w:t>
      </w:r>
      <w:r w:rsidRPr="000F70A3">
        <w:rPr>
          <w:rFonts w:eastAsia="Calibri" w:cs="Calibri"/>
        </w:rPr>
        <w:t xml:space="preserve">We were not able to recruit our target sample size for the trial. This </w:t>
      </w:r>
      <w:r w:rsidRPr="000F70A3">
        <w:rPr>
          <w:rFonts w:eastAsia="Calibri"/>
        </w:rPr>
        <w:t xml:space="preserve">impacted </w:t>
      </w:r>
      <w:r w:rsidRPr="000F70A3">
        <w:rPr>
          <w:rFonts w:eastAsia="Calibri"/>
          <w:highlight w:val="magenta"/>
        </w:rPr>
        <w:t>data</w:t>
      </w:r>
      <w:r w:rsidRPr="000F70A3">
        <w:rPr>
          <w:rFonts w:eastAsia="Calibri"/>
        </w:rPr>
        <w:t xml:space="preserve"> available for microbiology, health economics and risk reduction score analyses.</w:t>
      </w:r>
    </w:p>
    <w:p w14:paraId="768339C9" w14:textId="6270709E" w:rsidR="000F70A3" w:rsidRPr="000F70A3" w:rsidRDefault="000F70A3" w:rsidP="005D7A8D">
      <w:pPr>
        <w:pStyle w:val="154AbstracttextfoPrelimsPrelimsstyles"/>
        <w:rPr>
          <w:rFonts w:eastAsia="Calibri"/>
        </w:rPr>
      </w:pPr>
      <w:r w:rsidRPr="005D7A8D">
        <w:rPr>
          <w:b/>
        </w:rPr>
        <w:t>Conclusions</w:t>
      </w:r>
      <w:r w:rsidR="0059567E" w:rsidRPr="005D7A8D">
        <w:rPr>
          <w:b/>
        </w:rPr>
        <w:t>:</w:t>
      </w:r>
      <w:r w:rsidR="0059567E" w:rsidRPr="000F70A3">
        <w:rPr>
          <w:rFonts w:eastAsia="Calibri"/>
        </w:rPr>
        <w:t xml:space="preserve"> </w:t>
      </w:r>
      <w:r w:rsidRPr="000F70A3">
        <w:rPr>
          <w:rFonts w:eastAsia="Calibri"/>
        </w:rPr>
        <w:t xml:space="preserve">Our results do not support early antibiotic prescribing to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with ILI during influenza season.</w:t>
      </w:r>
    </w:p>
    <w:p w14:paraId="54796BD5" w14:textId="7D68DE4E" w:rsidR="000F70A3" w:rsidRPr="000F70A3" w:rsidRDefault="000F70A3" w:rsidP="005D7A8D">
      <w:pPr>
        <w:pStyle w:val="154AbstracttextfoPrelimsPrelimsstyles"/>
        <w:rPr>
          <w:rFonts w:eastAsia="Calibri"/>
        </w:rPr>
      </w:pPr>
      <w:r w:rsidRPr="005D7A8D">
        <w:rPr>
          <w:b/>
        </w:rPr>
        <w:t>Future Work</w:t>
      </w:r>
      <w:r w:rsidR="0059567E" w:rsidRPr="005D7A8D">
        <w:rPr>
          <w:b/>
        </w:rPr>
        <w:t>:</w:t>
      </w:r>
      <w:r w:rsidR="0059567E" w:rsidRPr="000F70A3">
        <w:rPr>
          <w:rFonts w:eastAsia="Calibri"/>
        </w:rPr>
        <w:t xml:space="preserve"> </w:t>
      </w:r>
      <w:r w:rsidRPr="000F70A3">
        <w:rPr>
          <w:rFonts w:eastAsia="Calibri"/>
        </w:rPr>
        <w:t>Further research is required to determine if antibiotic treatment would be beneficial during periods of higher influenza activity such as influenza pandemics, to identify children who would gain most clinical benefit, and to better understand families</w:t>
      </w:r>
      <w:r w:rsidRPr="000F70A3">
        <w:rPr>
          <w:rFonts w:eastAsia="Calibri"/>
          <w:color w:val="00B0F0"/>
        </w:rPr>
        <w:t>’</w:t>
      </w:r>
      <w:r w:rsidRPr="000F70A3">
        <w:rPr>
          <w:rFonts w:eastAsia="Calibri"/>
        </w:rPr>
        <w:t xml:space="preserve"> re-consultation decisions.</w:t>
      </w:r>
    </w:p>
    <w:p w14:paraId="512ABC1F" w14:textId="20011305" w:rsidR="000F70A3" w:rsidRPr="000F70A3" w:rsidRDefault="000F70A3" w:rsidP="005D7A8D">
      <w:pPr>
        <w:pStyle w:val="154AbstracttextfoPrelimsPrelimsstyles"/>
      </w:pPr>
      <w:r w:rsidRPr="005D7A8D">
        <w:rPr>
          <w:b/>
        </w:rPr>
        <w:t>Trial Registration</w:t>
      </w:r>
      <w:r w:rsidR="0059567E" w:rsidRPr="005D7A8D">
        <w:rPr>
          <w:b/>
        </w:rPr>
        <w:t>:</w:t>
      </w:r>
      <w:r w:rsidR="0059567E">
        <w:t xml:space="preserve"> </w:t>
      </w:r>
      <w:r w:rsidRPr="000F70A3">
        <w:t>ISRCTN 70714783</w:t>
      </w:r>
    </w:p>
    <w:p w14:paraId="6F7FC0C2" w14:textId="1772AD22" w:rsidR="000F70A3" w:rsidRPr="000F70A3" w:rsidRDefault="000F70A3" w:rsidP="005D7A8D">
      <w:pPr>
        <w:pStyle w:val="154AbstracttextfoPrelimsPrelimsstyles"/>
        <w:rPr>
          <w:rFonts w:eastAsia="Calibri"/>
        </w:rPr>
      </w:pPr>
      <w:r w:rsidRPr="00CE21C3">
        <w:rPr>
          <w:b/>
        </w:rPr>
        <w:t>Funding details</w:t>
      </w:r>
      <w:r w:rsidR="005D7A8D" w:rsidRPr="00CE21C3">
        <w:rPr>
          <w:b/>
        </w:rPr>
        <w:t>:</w:t>
      </w:r>
      <w:r w:rsidR="005D7A8D" w:rsidRPr="00CE21C3">
        <w:t xml:space="preserve"> </w:t>
      </w:r>
      <w:r w:rsidRPr="000F70A3">
        <w:rPr>
          <w:rFonts w:eastAsia="Calibri"/>
        </w:rPr>
        <w:t>This project was funded by the National Institute for Health Research (NIHR) Programme Grants for Applied Research and will be published in full in XXX Journal; Vol. XX, No. XX. See the NIHR Journals Library website for further project information.</w:t>
      </w:r>
    </w:p>
    <w:p w14:paraId="1312C7F8" w14:textId="77777777" w:rsidR="000F70A3" w:rsidRPr="000F70A3" w:rsidRDefault="000F70A3" w:rsidP="009B41EE">
      <w:pPr>
        <w:pStyle w:val="43PrelimtitleHeadingsHeadingstyles"/>
      </w:pPr>
      <w:r w:rsidRPr="000F70A3">
        <w:t>Contents</w:t>
      </w:r>
    </w:p>
    <w:p w14:paraId="528E2160" w14:textId="77777777" w:rsidR="000F70A3" w:rsidRPr="009B41EE" w:rsidRDefault="000F70A3" w:rsidP="009B41EE">
      <w:pPr>
        <w:pStyle w:val="602TextfoTextstylesTextstyles"/>
        <w:rPr>
          <w:i/>
          <w:color w:val="FF0000"/>
        </w:rPr>
      </w:pPr>
      <w:r w:rsidRPr="009B41EE">
        <w:rPr>
          <w:i/>
          <w:color w:val="FF0000"/>
        </w:rPr>
        <w:t>&lt;&lt;Typesetter insert Contents list &gt;&gt;</w:t>
      </w:r>
    </w:p>
    <w:p w14:paraId="31A34721" w14:textId="77777777" w:rsidR="000F70A3" w:rsidRPr="000F70A3" w:rsidRDefault="000F70A3" w:rsidP="009B41EE">
      <w:pPr>
        <w:pStyle w:val="43PrelimtitleHeadingsHeadingstyles"/>
      </w:pPr>
      <w:r w:rsidRPr="000F70A3">
        <w:t>List of tables</w:t>
      </w:r>
    </w:p>
    <w:p w14:paraId="5FEC7C00" w14:textId="77777777" w:rsidR="000F70A3" w:rsidRPr="009B41EE" w:rsidRDefault="000F70A3" w:rsidP="009B41EE">
      <w:pPr>
        <w:pStyle w:val="602TextfoTextstylesTextstyles"/>
        <w:rPr>
          <w:i/>
          <w:color w:val="FF0000"/>
        </w:rPr>
      </w:pPr>
      <w:r w:rsidRPr="009B41EE">
        <w:rPr>
          <w:i/>
          <w:color w:val="FF0000"/>
        </w:rPr>
        <w:t>&lt;&lt;Typesetter insert List of tables&gt;&gt;</w:t>
      </w:r>
    </w:p>
    <w:p w14:paraId="0E5E02FD" w14:textId="77777777" w:rsidR="000F70A3" w:rsidRPr="000F70A3" w:rsidRDefault="000F70A3" w:rsidP="009B41EE">
      <w:pPr>
        <w:pStyle w:val="43PrelimtitleHeadingsHeadingstyles"/>
      </w:pPr>
      <w:r w:rsidRPr="000F70A3">
        <w:t>List of figures</w:t>
      </w:r>
    </w:p>
    <w:p w14:paraId="47A56878" w14:textId="77777777" w:rsidR="000F70A3" w:rsidRPr="009B41EE" w:rsidRDefault="000F70A3" w:rsidP="009B41EE">
      <w:pPr>
        <w:pStyle w:val="602TextfoTextstylesTextstyles"/>
        <w:rPr>
          <w:i/>
          <w:color w:val="FF0000"/>
        </w:rPr>
      </w:pPr>
      <w:r w:rsidRPr="009B41EE">
        <w:rPr>
          <w:i/>
          <w:color w:val="FF0000"/>
        </w:rPr>
        <w:t>&lt;&lt;Typesetter insert List of figures&gt;&gt;</w:t>
      </w:r>
    </w:p>
    <w:p w14:paraId="2FA5A527" w14:textId="77777777" w:rsidR="000F70A3" w:rsidRPr="000F70A3" w:rsidRDefault="000F70A3" w:rsidP="009B41EE">
      <w:pPr>
        <w:pStyle w:val="43PrelimtitleHeadingsHeadingstyles"/>
      </w:pPr>
      <w:r w:rsidRPr="000F70A3">
        <w:t>List of supplementary material</w:t>
      </w:r>
    </w:p>
    <w:p w14:paraId="00BD8FAE" w14:textId="77777777" w:rsidR="000F70A3" w:rsidRPr="009B41EE" w:rsidRDefault="000F70A3" w:rsidP="009B41EE">
      <w:pPr>
        <w:pStyle w:val="602TextfoTextstylesTextstyles"/>
        <w:rPr>
          <w:i/>
          <w:color w:val="FF0000"/>
        </w:rPr>
      </w:pPr>
      <w:r w:rsidRPr="009B41EE">
        <w:rPr>
          <w:i/>
          <w:color w:val="FF0000"/>
        </w:rPr>
        <w:t>&lt;&lt;Typesetter please format as per list of tables/boxes/figures&gt;&gt;</w:t>
      </w:r>
    </w:p>
    <w:p w14:paraId="033DB6C5" w14:textId="77777777" w:rsidR="000F70A3" w:rsidRPr="009B41EE" w:rsidRDefault="000F70A3" w:rsidP="009B41EE">
      <w:pPr>
        <w:pStyle w:val="602TextfoTextstylesTextstyles"/>
        <w:rPr>
          <w:i/>
          <w:color w:val="FF0000"/>
        </w:rPr>
      </w:pPr>
      <w:r w:rsidRPr="009B41EE">
        <w:rPr>
          <w:i/>
          <w:color w:val="FF0000"/>
        </w:rPr>
        <w:t>&lt;&lt;PM please insert list of supplementary material&gt;&gt;</w:t>
      </w:r>
    </w:p>
    <w:p w14:paraId="71994BA7" w14:textId="77777777" w:rsidR="000F70A3" w:rsidRPr="000F70A3" w:rsidRDefault="000F70A3" w:rsidP="009B41EE">
      <w:pPr>
        <w:pStyle w:val="602TextfoTextstylesTextstyles"/>
      </w:pPr>
      <w:r w:rsidRPr="000F70A3">
        <w:t>Supplementary material can be found on the NIHR Journals Library report page (https://doi.org/10.3310/XXXXXXX0).</w:t>
      </w:r>
    </w:p>
    <w:p w14:paraId="20F831D4" w14:textId="77777777" w:rsidR="000F70A3" w:rsidRPr="000F70A3" w:rsidRDefault="000F70A3" w:rsidP="009B41EE">
      <w:pPr>
        <w:pStyle w:val="602TextfoTextstylesTextstyles"/>
      </w:pPr>
      <w:r w:rsidRPr="000F70A3">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6C9C4963" w14:textId="77777777" w:rsidR="000F70A3" w:rsidRPr="000F70A3" w:rsidRDefault="000F70A3" w:rsidP="009B41EE">
      <w:pPr>
        <w:pStyle w:val="43PrelimtitleHeadingsHeadingstyles"/>
        <w:rPr>
          <w:rFonts w:eastAsia="DengXian Light"/>
        </w:rPr>
      </w:pPr>
      <w:bookmarkStart w:id="3" w:name="_Toc106099118"/>
      <w:bookmarkStart w:id="4" w:name="_Toc61506826"/>
      <w:r w:rsidRPr="000F70A3">
        <w:rPr>
          <w:rFonts w:eastAsia="DengXian Light"/>
        </w:rPr>
        <w:t>Abbreviations</w:t>
      </w:r>
      <w:bookmarkEnd w:id="3"/>
    </w:p>
    <w:p w14:paraId="0C9B3E9F" w14:textId="77777777" w:rsidR="004E2004" w:rsidRPr="000F70A3" w:rsidRDefault="004E2004" w:rsidP="004E2004">
      <w:pPr>
        <w:pStyle w:val="19AbbreviationslistPrelimsstyles"/>
      </w:pPr>
      <w:r w:rsidRPr="000F70A3">
        <w:t>BNF</w:t>
      </w:r>
      <w:r>
        <w:tab/>
      </w:r>
      <w:r w:rsidRPr="000F70A3">
        <w:t>British National Formulary</w:t>
      </w:r>
    </w:p>
    <w:p w14:paraId="3ABE10D6" w14:textId="77777777" w:rsidR="004E2004" w:rsidRPr="000F70A3" w:rsidRDefault="004E2004" w:rsidP="004E2004">
      <w:pPr>
        <w:pStyle w:val="19AbbreviationslistPrelimsstyles"/>
        <w:rPr>
          <w:b/>
        </w:rPr>
      </w:pPr>
      <w:r w:rsidRPr="000F70A3">
        <w:t>CARIFS</w:t>
      </w:r>
      <w:r>
        <w:tab/>
      </w:r>
      <w:r w:rsidRPr="000F70A3">
        <w:t>Canadian Acute Respiratory Infection and Flu Scale</w:t>
      </w:r>
    </w:p>
    <w:p w14:paraId="2898A8A0" w14:textId="77777777" w:rsidR="004E2004" w:rsidRPr="000F70A3" w:rsidRDefault="004E2004" w:rsidP="004E2004">
      <w:pPr>
        <w:pStyle w:val="19AbbreviationslistPrelimsstyles"/>
      </w:pPr>
      <w:r w:rsidRPr="000F70A3">
        <w:t>CI</w:t>
      </w:r>
      <w:r>
        <w:tab/>
      </w:r>
      <w:r w:rsidRPr="000F70A3">
        <w:t>Confidence Interval</w:t>
      </w:r>
    </w:p>
    <w:p w14:paraId="0389D586" w14:textId="77777777" w:rsidR="004E2004" w:rsidRPr="000F70A3" w:rsidRDefault="004E2004" w:rsidP="004E2004">
      <w:pPr>
        <w:pStyle w:val="19AbbreviationslistPrelimsstyles"/>
      </w:pPr>
      <w:r w:rsidRPr="000F70A3">
        <w:t>FLI</w:t>
      </w:r>
      <w:r>
        <w:tab/>
      </w:r>
      <w:r w:rsidRPr="000F70A3">
        <w:t>Flu Like Illness</w:t>
      </w:r>
    </w:p>
    <w:p w14:paraId="59D12F86" w14:textId="77777777" w:rsidR="004E2004" w:rsidRPr="000F70A3" w:rsidRDefault="004E2004" w:rsidP="004E2004">
      <w:pPr>
        <w:pStyle w:val="19AbbreviationslistPrelimsstyles"/>
      </w:pPr>
      <w:r w:rsidRPr="000F70A3">
        <w:t>GP</w:t>
      </w:r>
      <w:r>
        <w:tab/>
      </w:r>
      <w:r w:rsidRPr="000F70A3">
        <w:t>General Practitioner</w:t>
      </w:r>
    </w:p>
    <w:p w14:paraId="49190A36" w14:textId="77777777" w:rsidR="004E2004" w:rsidRPr="000F70A3" w:rsidRDefault="004E2004" w:rsidP="004E2004">
      <w:pPr>
        <w:pStyle w:val="19AbbreviationslistPrelimsstyles"/>
      </w:pPr>
      <w:r w:rsidRPr="000F70A3">
        <w:t>ICER</w:t>
      </w:r>
      <w:r>
        <w:tab/>
      </w:r>
      <w:r w:rsidRPr="000F70A3">
        <w:t>Incremental Cost-Effectiveness Ratio</w:t>
      </w:r>
    </w:p>
    <w:p w14:paraId="60A98DFC" w14:textId="77777777" w:rsidR="004E2004" w:rsidRPr="000F70A3" w:rsidRDefault="004E2004" w:rsidP="004E2004">
      <w:pPr>
        <w:pStyle w:val="19AbbreviationslistPrelimsstyles"/>
      </w:pPr>
      <w:r w:rsidRPr="000F70A3">
        <w:t>ILI</w:t>
      </w:r>
      <w:r>
        <w:tab/>
      </w:r>
      <w:r w:rsidRPr="000F70A3">
        <w:t>Influenza Like Illness</w:t>
      </w:r>
    </w:p>
    <w:p w14:paraId="63B8EA9D" w14:textId="77777777" w:rsidR="004E2004" w:rsidRPr="000F70A3" w:rsidRDefault="004E2004" w:rsidP="004E2004">
      <w:pPr>
        <w:pStyle w:val="19AbbreviationslistPrelimsstyles"/>
      </w:pPr>
      <w:r w:rsidRPr="000F70A3">
        <w:t>LAIV</w:t>
      </w:r>
      <w:r>
        <w:tab/>
      </w:r>
      <w:r w:rsidRPr="000F70A3">
        <w:t>Live Attenuated Influenza Vaccine</w:t>
      </w:r>
    </w:p>
    <w:p w14:paraId="480D82B8" w14:textId="77777777" w:rsidR="004E2004" w:rsidRPr="000F70A3" w:rsidRDefault="004E2004" w:rsidP="004E2004">
      <w:pPr>
        <w:pStyle w:val="19AbbreviationslistPrelimsstyles"/>
      </w:pPr>
      <w:r w:rsidRPr="000F70A3">
        <w:t>MIC</w:t>
      </w:r>
      <w:r>
        <w:tab/>
      </w:r>
      <w:r w:rsidRPr="000F70A3">
        <w:t>Minimum Inhibitory Concentration</w:t>
      </w:r>
    </w:p>
    <w:p w14:paraId="495CA615" w14:textId="77777777" w:rsidR="004E2004" w:rsidRPr="000F70A3" w:rsidRDefault="004E2004" w:rsidP="004E2004">
      <w:pPr>
        <w:pStyle w:val="19AbbreviationslistPrelimsstyles"/>
      </w:pPr>
      <w:r w:rsidRPr="000F70A3">
        <w:t>MRSA</w:t>
      </w:r>
      <w:r>
        <w:tab/>
      </w:r>
      <w:r w:rsidRPr="000F70A3">
        <w:t>Methicillin-Resistant Staphylococcus Aureus</w:t>
      </w:r>
    </w:p>
    <w:p w14:paraId="025C5A49" w14:textId="77777777" w:rsidR="004E2004" w:rsidRPr="000F70A3" w:rsidRDefault="004E2004" w:rsidP="004E2004">
      <w:pPr>
        <w:pStyle w:val="19AbbreviationslistPrelimsstyles"/>
      </w:pPr>
      <w:r w:rsidRPr="000F70A3">
        <w:t>NAI</w:t>
      </w:r>
      <w:r>
        <w:tab/>
      </w:r>
      <w:r w:rsidRPr="000F70A3">
        <w:t>Neuraminidase Inhibitors</w:t>
      </w:r>
    </w:p>
    <w:p w14:paraId="2C005027" w14:textId="77777777" w:rsidR="004E2004" w:rsidRPr="000F70A3" w:rsidRDefault="004E2004" w:rsidP="004E2004">
      <w:pPr>
        <w:pStyle w:val="19AbbreviationslistPrelimsstyles"/>
      </w:pPr>
      <w:r w:rsidRPr="000F70A3">
        <w:t>NHS</w:t>
      </w:r>
      <w:r>
        <w:tab/>
      </w:r>
      <w:r w:rsidRPr="000F70A3">
        <w:t>National Health Service</w:t>
      </w:r>
    </w:p>
    <w:p w14:paraId="230FB367" w14:textId="77777777" w:rsidR="004E2004" w:rsidRPr="000F70A3" w:rsidRDefault="004E2004" w:rsidP="004E2004">
      <w:pPr>
        <w:pStyle w:val="19AbbreviationslistPrelimsstyles"/>
      </w:pPr>
      <w:r w:rsidRPr="000F70A3">
        <w:t>OR</w:t>
      </w:r>
      <w:r>
        <w:tab/>
      </w:r>
      <w:r w:rsidRPr="000F70A3">
        <w:t>Odds Ratio</w:t>
      </w:r>
    </w:p>
    <w:p w14:paraId="2C62289F" w14:textId="77777777" w:rsidR="004E2004" w:rsidRPr="000F70A3" w:rsidRDefault="004E2004" w:rsidP="004E2004">
      <w:pPr>
        <w:pStyle w:val="19AbbreviationslistPrelimsstyles"/>
      </w:pPr>
      <w:r w:rsidRPr="000F70A3">
        <w:t>PCR</w:t>
      </w:r>
      <w:r>
        <w:tab/>
      </w:r>
      <w:r w:rsidRPr="000F70A3">
        <w:t>Polymerase Chain Reaction</w:t>
      </w:r>
    </w:p>
    <w:p w14:paraId="4CBD2A10" w14:textId="77777777" w:rsidR="004E2004" w:rsidRPr="000F70A3" w:rsidRDefault="004E2004" w:rsidP="004E2004">
      <w:pPr>
        <w:pStyle w:val="19AbbreviationslistPrelimsstyles"/>
      </w:pPr>
      <w:r w:rsidRPr="000F70A3">
        <w:t>PCRN</w:t>
      </w:r>
      <w:r>
        <w:tab/>
      </w:r>
      <w:r w:rsidRPr="000F70A3">
        <w:t>Primary Care Research Network</w:t>
      </w:r>
    </w:p>
    <w:p w14:paraId="10037A89" w14:textId="77777777" w:rsidR="004E2004" w:rsidRPr="000F70A3" w:rsidRDefault="004E2004" w:rsidP="004E2004">
      <w:pPr>
        <w:pStyle w:val="19AbbreviationslistPrelimsstyles"/>
      </w:pPr>
      <w:r w:rsidRPr="000F70A3">
        <w:t>PCT</w:t>
      </w:r>
      <w:r>
        <w:tab/>
      </w:r>
      <w:r w:rsidRPr="000F70A3">
        <w:t>Primary Care Trust</w:t>
      </w:r>
    </w:p>
    <w:p w14:paraId="7080A1A0" w14:textId="77777777" w:rsidR="004E2004" w:rsidRPr="000F70A3" w:rsidRDefault="004E2004" w:rsidP="004E2004">
      <w:pPr>
        <w:pStyle w:val="19AbbreviationslistPrelimsstyles"/>
      </w:pPr>
      <w:r w:rsidRPr="000F70A3">
        <w:t>PCV</w:t>
      </w:r>
      <w:r>
        <w:tab/>
      </w:r>
      <w:r w:rsidRPr="000F70A3">
        <w:t>pneumococcal conjugate vaccine</w:t>
      </w:r>
    </w:p>
    <w:p w14:paraId="11C55863" w14:textId="77777777" w:rsidR="004E2004" w:rsidRPr="000F70A3" w:rsidRDefault="004E2004" w:rsidP="004E2004">
      <w:pPr>
        <w:pStyle w:val="19AbbreviationslistPrelimsstyles"/>
      </w:pPr>
      <w:r w:rsidRPr="000F70A3">
        <w:t>PIL</w:t>
      </w:r>
      <w:r>
        <w:tab/>
      </w:r>
      <w:r w:rsidRPr="000F70A3">
        <w:t>Participant Information Leaflet</w:t>
      </w:r>
    </w:p>
    <w:p w14:paraId="5ADC78BF" w14:textId="77777777" w:rsidR="004E2004" w:rsidRPr="000F70A3" w:rsidRDefault="004E2004" w:rsidP="004E2004">
      <w:pPr>
        <w:pStyle w:val="19AbbreviationslistPrelimsstyles"/>
      </w:pPr>
      <w:r w:rsidRPr="000F70A3">
        <w:t>QALY</w:t>
      </w:r>
      <w:r>
        <w:tab/>
      </w:r>
      <w:r w:rsidRPr="000F70A3">
        <w:t>Quality-adjusted Life-year</w:t>
      </w:r>
    </w:p>
    <w:p w14:paraId="57112CB9" w14:textId="77777777" w:rsidR="004E2004" w:rsidRPr="000F70A3" w:rsidRDefault="004E2004" w:rsidP="004E2004">
      <w:pPr>
        <w:pStyle w:val="19AbbreviationslistPrelimsstyles"/>
      </w:pPr>
      <w:r w:rsidRPr="000F70A3">
        <w:t>RR</w:t>
      </w:r>
      <w:r>
        <w:tab/>
      </w:r>
      <w:r w:rsidRPr="000F70A3">
        <w:t>Risk Ratio</w:t>
      </w:r>
    </w:p>
    <w:p w14:paraId="48EDA048" w14:textId="77777777" w:rsidR="004E2004" w:rsidRPr="000F70A3" w:rsidRDefault="004E2004" w:rsidP="004E2004">
      <w:pPr>
        <w:pStyle w:val="19AbbreviationslistPrelimsstyles"/>
      </w:pPr>
      <w:r w:rsidRPr="000F70A3">
        <w:t>RTI</w:t>
      </w:r>
      <w:r>
        <w:tab/>
      </w:r>
      <w:r w:rsidRPr="000F70A3">
        <w:t>Respiratory Tract Infection</w:t>
      </w:r>
    </w:p>
    <w:p w14:paraId="5F2AB349" w14:textId="77777777" w:rsidR="004E2004" w:rsidRPr="000F70A3" w:rsidRDefault="004E2004" w:rsidP="004E2004">
      <w:pPr>
        <w:pStyle w:val="19AbbreviationslistPrelimsstyles"/>
      </w:pPr>
      <w:r w:rsidRPr="000F70A3">
        <w:t>SD</w:t>
      </w:r>
      <w:r>
        <w:tab/>
      </w:r>
      <w:r w:rsidRPr="000F70A3">
        <w:t>Standard Deviation</w:t>
      </w:r>
    </w:p>
    <w:p w14:paraId="042CDC27" w14:textId="77777777" w:rsidR="004E2004" w:rsidRPr="000F70A3" w:rsidRDefault="004E2004" w:rsidP="004E2004">
      <w:pPr>
        <w:pStyle w:val="19AbbreviationslistPrelimsstyles"/>
      </w:pPr>
      <w:r w:rsidRPr="000F70A3">
        <w:t>UK</w:t>
      </w:r>
      <w:r>
        <w:tab/>
      </w:r>
      <w:r w:rsidRPr="000F70A3">
        <w:t>United Kingdom</w:t>
      </w:r>
    </w:p>
    <w:p w14:paraId="48067578" w14:textId="77777777" w:rsidR="004E2004" w:rsidRPr="000F70A3" w:rsidRDefault="004E2004" w:rsidP="004E2004">
      <w:pPr>
        <w:pStyle w:val="19AbbreviationslistPrelimsstyles"/>
      </w:pPr>
      <w:r w:rsidRPr="000F70A3">
        <w:t>VE</w:t>
      </w:r>
      <w:r>
        <w:tab/>
      </w:r>
      <w:r w:rsidRPr="000F70A3">
        <w:t>Vaccine Efficacy</w:t>
      </w:r>
    </w:p>
    <w:p w14:paraId="2453A70C" w14:textId="521DC4C6" w:rsidR="000F70A3" w:rsidRPr="000F70A3" w:rsidRDefault="000F70A3" w:rsidP="004E2004">
      <w:pPr>
        <w:pStyle w:val="43PrelimtitleHeadingsHeadingstyles"/>
        <w:rPr>
          <w:rFonts w:eastAsia="DengXian Light"/>
        </w:rPr>
      </w:pPr>
      <w:bookmarkStart w:id="5" w:name="_Toc106099119"/>
      <w:r w:rsidRPr="000F70A3">
        <w:rPr>
          <w:rFonts w:eastAsia="DengXian Light"/>
        </w:rPr>
        <w:t>Plain English Summary</w:t>
      </w:r>
      <w:bookmarkEnd w:id="4"/>
      <w:bookmarkEnd w:id="5"/>
    </w:p>
    <w:p w14:paraId="383C4C67" w14:textId="77777777" w:rsidR="000F70A3" w:rsidRPr="000F70A3" w:rsidRDefault="000F70A3" w:rsidP="004E2004">
      <w:pPr>
        <w:pStyle w:val="601TextdropcapTextstylesTextstyles"/>
      </w:pPr>
      <w:r w:rsidRPr="000F70A3">
        <w:t>For most children flu or a flu like illness (FLI) is a mild and short illness, but is considered to be a factor for secondary complications, including bacterial infections. Children who have an underlying health condition (Diabetes, Down syndrome etc.) are particularly vulnerable to developing secondary complications. Flu and FLI in these children place a great burden on families and healthcare systems.</w:t>
      </w:r>
    </w:p>
    <w:p w14:paraId="7C4BEB79" w14:textId="77777777" w:rsidR="000F70A3" w:rsidRPr="000F70A3" w:rsidRDefault="000F70A3" w:rsidP="004E2004">
      <w:pPr>
        <w:pStyle w:val="602TextfoTextstylesTextstyles"/>
      </w:pPr>
      <w:r w:rsidRPr="000F70A3">
        <w:t xml:space="preserve">Our research explored the literature on children, flu and FLI. We spoke to GPs who treat children and families of children who have experienced a bout of flu/FLI. We conducted a clinical trial to see if giving children an antibiotic (co-amoxiclav) early on in their illness would help them feel better more quickly and prevent complications. We conducted a sub study to take </w:t>
      </w:r>
      <w:r w:rsidRPr="000F70A3">
        <w:rPr>
          <w:highlight w:val="magenta"/>
        </w:rPr>
        <w:t>follow up</w:t>
      </w:r>
      <w:r w:rsidRPr="000F70A3">
        <w:t xml:space="preserve"> throat swabs at three times for a year to check for any signs of antibiotic resistance from co-amoxiclav treatment. We explored the </w:t>
      </w:r>
      <w:r w:rsidRPr="000F70A3">
        <w:rPr>
          <w:color w:val="00B0F0"/>
        </w:rPr>
        <w:t>cost-effective</w:t>
      </w:r>
      <w:r w:rsidRPr="000F70A3">
        <w:t>ness of treatment with co-amoxiclav and if it was possible to identify which children would benefit most from it.</w:t>
      </w:r>
    </w:p>
    <w:p w14:paraId="07957BEB" w14:textId="77777777" w:rsidR="000F70A3" w:rsidRPr="000F70A3" w:rsidRDefault="000F70A3" w:rsidP="004E2004">
      <w:pPr>
        <w:pStyle w:val="602TextfoTextstylesTextstyles"/>
      </w:pPr>
      <w:r w:rsidRPr="000F70A3">
        <w:t xml:space="preserve">Our findings from literature were that premature birth was an unidentified risk factor for flu/FLI complications. We found GPs are influenced by a variety of factors when making clinical decisions about individual children but not if the child may have flu. Parents reported not being prepared for how quickly their child got worse when they had the flu and were positive about the use of antibiotics. The clinical trial indicated there was no evidence of difference between children given co-amoxiclav and those given a placebo or that </w:t>
      </w:r>
      <w:r w:rsidRPr="000F70A3">
        <w:rPr>
          <w:iCs/>
        </w:rPr>
        <w:t>co-amoxiclav helped children who visited a hospital outpatients more than children who visited their GP.</w:t>
      </w:r>
      <w:r w:rsidRPr="000F70A3">
        <w:rPr>
          <w:rFonts w:eastAsia="DengXian" w:cs="Arial"/>
        </w:rPr>
        <w:t xml:space="preserve"> </w:t>
      </w:r>
      <w:r w:rsidRPr="000F70A3">
        <w:t>The swab sub study did not show any evidence that co-amoxiclav led to children developing long lasting resistance to antibiotics.</w:t>
      </w:r>
    </w:p>
    <w:p w14:paraId="0CBF9CB3" w14:textId="77777777" w:rsidR="000F70A3" w:rsidRPr="000F70A3" w:rsidRDefault="000F70A3" w:rsidP="004E2004">
      <w:pPr>
        <w:pStyle w:val="602TextfoTextstylesTextstyles"/>
      </w:pPr>
      <w:r w:rsidRPr="000F70A3">
        <w:rPr>
          <w:iCs/>
        </w:rPr>
        <w:t xml:space="preserve">We did not find any evidence that </w:t>
      </w:r>
      <w:r w:rsidRPr="000F70A3">
        <w:t xml:space="preserve">early treatment with co-amoxiclav makes it less likely that a child will be seen again by a doctor or nurse </w:t>
      </w:r>
      <w:r w:rsidRPr="000F70A3">
        <w:rPr>
          <w:highlight w:val="magenta"/>
        </w:rPr>
        <w:t>due to</w:t>
      </w:r>
      <w:r w:rsidRPr="000F70A3">
        <w:t xml:space="preserve"> their flu/FLI getting worse. Our findings suggested that treatment with co-amoxiclav might </w:t>
      </w:r>
      <w:r w:rsidRPr="000F70A3">
        <w:rPr>
          <w:highlight w:val="magenta"/>
        </w:rPr>
        <w:t>lead</w:t>
      </w:r>
      <w:r w:rsidRPr="000F70A3">
        <w:t xml:space="preserve"> to lower overall health care costs, but a bigger trial would be needed to confirm this as there was no clear evidence of difference. It was not possible to identify if any specific group of children would benefit more from co-amoxiclav treatment early on in their illness. We do not recommend that children with an underlying health condition be given an antibiotic when they have a flu like illness.</w:t>
      </w:r>
    </w:p>
    <w:p w14:paraId="2DEB2697" w14:textId="08FFFB83" w:rsidR="000F70A3" w:rsidRPr="000F70A3" w:rsidRDefault="000F70A3" w:rsidP="004E2004">
      <w:pPr>
        <w:pStyle w:val="43PrelimtitleHeadingsHeadingstyles"/>
        <w:rPr>
          <w:lang w:eastAsia="en-GB"/>
        </w:rPr>
      </w:pPr>
      <w:bookmarkStart w:id="6" w:name="_Toc61506827"/>
      <w:bookmarkStart w:id="7" w:name="_Toc106099120"/>
      <w:r w:rsidRPr="000F70A3">
        <w:rPr>
          <w:lang w:eastAsia="en-GB"/>
        </w:rPr>
        <w:t>Scientific Summary</w:t>
      </w:r>
      <w:bookmarkEnd w:id="6"/>
      <w:bookmarkEnd w:id="7"/>
    </w:p>
    <w:p w14:paraId="31344519" w14:textId="77777777" w:rsidR="000F70A3" w:rsidRPr="000F70A3" w:rsidRDefault="000F70A3" w:rsidP="004E2004">
      <w:pPr>
        <w:pStyle w:val="52AheadHeadingsHeadingstyles"/>
      </w:pPr>
      <w:r w:rsidRPr="000F70A3">
        <w:t>Background</w:t>
      </w:r>
    </w:p>
    <w:p w14:paraId="3D4BAC8B" w14:textId="77777777" w:rsidR="000F70A3" w:rsidRPr="000F70A3" w:rsidRDefault="000F70A3" w:rsidP="004E2004">
      <w:pPr>
        <w:pStyle w:val="602TextfoTextstylesTextstyles"/>
      </w:pPr>
      <w:r w:rsidRPr="000F70A3">
        <w:t xml:space="preserve">Influenza circulates annually, predominantly in the winter months, creating a burden on health services, families and individuals. While for most children influenza-like illness (ILI) is a mild and relatively short illness, it is widely considered to be a predisposing factor for secondary complications, including bacterial infections such as otitis media and pneumonia. These complications often result in children consulting a health care professional more than once during the same illness episode </w:t>
      </w:r>
      <w:r w:rsidRPr="000F70A3">
        <w:rPr>
          <w:highlight w:val="magenta"/>
        </w:rPr>
        <w:t>due to</w:t>
      </w:r>
      <w:r w:rsidRPr="000F70A3">
        <w:t xml:space="preserve"> clinical deterioration, putting additional strain on the National Health Service (NHS) during the winter months. </w:t>
      </w:r>
      <w:r w:rsidRPr="000F70A3">
        <w:rPr>
          <w:color w:val="00B0F0"/>
        </w:rPr>
        <w:t>‘</w:t>
      </w:r>
      <w:r w:rsidRPr="000F70A3">
        <w:t>At risk</w:t>
      </w:r>
      <w:r w:rsidRPr="000F70A3">
        <w:rPr>
          <w:color w:val="00B0F0"/>
        </w:rPr>
        <w:t>’</w:t>
      </w:r>
      <w:r w:rsidRPr="000F70A3">
        <w:t xml:space="preserve"> children are children who are more prone to clinical deterioration from ILI (e.g. bacterial infections, hospitalisation) and include children with underlying health conditions such as asthma, diabetes mellitus and Down</w:t>
      </w:r>
      <w:r w:rsidRPr="000F70A3">
        <w:rPr>
          <w:color w:val="00B0F0"/>
        </w:rPr>
        <w:t>’</w:t>
      </w:r>
      <w:r w:rsidRPr="000F70A3">
        <w:t>s syndrome.</w:t>
      </w:r>
    </w:p>
    <w:p w14:paraId="1B272FE2" w14:textId="77777777" w:rsidR="000F70A3" w:rsidRPr="000F70A3" w:rsidRDefault="000F70A3" w:rsidP="004E2004">
      <w:pPr>
        <w:pStyle w:val="602TextfoTextstylesTextstyles"/>
      </w:pPr>
      <w:r w:rsidRPr="000F70A3">
        <w:t xml:space="preserve">While vaccination against influenza is widely available, the uptake and efficacy of the vaccine is variable from season to season, meaning alternative strategies remain necessary. It is widely acknowledged that antibiotics should not routinely be given to treat viral illness due lack of efficacy and the risk of fuelling antimicrobial resistance. However there is exploratory evidence indicating that treatment with an antibiotic early in an episode of ILI may reduce the risk of clinical deterioration by preventing additional complications and may help children feel better more quickly. In order to ensure antibiotics stockpiles are managed responsibly and appropriate strategies are in place, both for seasonal ILI and any future influenza pandemics, the potential effectiveness of antibiotics to treat </w:t>
      </w:r>
      <w:r w:rsidRPr="000F70A3">
        <w:rPr>
          <w:color w:val="00B0F0"/>
        </w:rPr>
        <w:t>‘</w:t>
      </w:r>
      <w:r w:rsidRPr="000F70A3">
        <w:t>at risk</w:t>
      </w:r>
      <w:r w:rsidRPr="000F70A3">
        <w:rPr>
          <w:color w:val="00B0F0"/>
        </w:rPr>
        <w:t>’</w:t>
      </w:r>
      <w:r w:rsidRPr="000F70A3">
        <w:t xml:space="preserve"> children presenting with ILI is a key research question.</w:t>
      </w:r>
    </w:p>
    <w:p w14:paraId="4964AD58" w14:textId="77777777" w:rsidR="000F70A3" w:rsidRPr="000F70A3" w:rsidRDefault="000F70A3" w:rsidP="004E2004">
      <w:pPr>
        <w:pStyle w:val="52AheadHeadingsHeadingstyles"/>
      </w:pPr>
      <w:r w:rsidRPr="000F70A3">
        <w:t>Objectives</w:t>
      </w:r>
    </w:p>
    <w:p w14:paraId="365AE44F" w14:textId="77777777" w:rsidR="000F70A3" w:rsidRPr="000F70A3" w:rsidRDefault="000F70A3" w:rsidP="004E2004">
      <w:pPr>
        <w:pStyle w:val="602TextfoTextstylesTextstyles"/>
      </w:pPr>
      <w:r w:rsidRPr="000F70A3">
        <w:t xml:space="preserve">The overall objective of the programme is to provide an evidence base to future inform the use of antibiotics in </w:t>
      </w:r>
      <w:r w:rsidRPr="000F70A3">
        <w:rPr>
          <w:color w:val="00B0F0"/>
        </w:rPr>
        <w:t>‘</w:t>
      </w:r>
      <w:r w:rsidRPr="000F70A3">
        <w:t>at risk</w:t>
      </w:r>
      <w:r w:rsidRPr="000F70A3">
        <w:rPr>
          <w:color w:val="00B0F0"/>
        </w:rPr>
        <w:t>’</w:t>
      </w:r>
      <w:r w:rsidRPr="000F70A3">
        <w:t xml:space="preserve"> children with ILI. Specifically we aimed to:</w:t>
      </w:r>
    </w:p>
    <w:p w14:paraId="57F56E49" w14:textId="4ECFDA23" w:rsidR="000F70A3" w:rsidRPr="000F70A3" w:rsidRDefault="000F70A3" w:rsidP="004E2004">
      <w:pPr>
        <w:pStyle w:val="621TextnumberedlistTextstylesTextstyles"/>
        <w:rPr>
          <w:i/>
        </w:rPr>
      </w:pPr>
      <w:r w:rsidRPr="000F70A3">
        <w:t>Identify risk factors and assess the reliability of published prognostic models for influenza-related complications in children (work package a)</w:t>
      </w:r>
    </w:p>
    <w:p w14:paraId="7D94BA36" w14:textId="5C51588B" w:rsidR="000F70A3" w:rsidRPr="000F70A3" w:rsidRDefault="000F70A3" w:rsidP="004E2004">
      <w:pPr>
        <w:pStyle w:val="621TextnumberedlistTextstylesTextstyles"/>
      </w:pPr>
      <w:r w:rsidRPr="000F70A3">
        <w:t>Understand what factors influence GPs</w:t>
      </w:r>
      <w:r w:rsidRPr="000F70A3">
        <w:rPr>
          <w:color w:val="00B0F0"/>
        </w:rPr>
        <w:t>’</w:t>
      </w:r>
      <w:r w:rsidRPr="000F70A3">
        <w:t xml:space="preserve"> decisions about antibiotic prescribing for at risk children with influenza/ILI (work package b)</w:t>
      </w:r>
    </w:p>
    <w:p w14:paraId="4DB8A5B3" w14:textId="6431DC37" w:rsidR="000F70A3" w:rsidRPr="000F70A3" w:rsidRDefault="000F70A3" w:rsidP="004E2004">
      <w:pPr>
        <w:pStyle w:val="621TextnumberedlistTextstylesTextstyles"/>
      </w:pPr>
      <w:r w:rsidRPr="000F70A3">
        <w:t xml:space="preserve">Explore the experiences of parents of at risk children who have previously become unwell </w:t>
      </w:r>
      <w:r w:rsidRPr="000F70A3">
        <w:rPr>
          <w:highlight w:val="magenta"/>
        </w:rPr>
        <w:t>due to</w:t>
      </w:r>
      <w:r w:rsidRPr="000F70A3">
        <w:t xml:space="preserve"> influenza/ILI and (work package b)</w:t>
      </w:r>
    </w:p>
    <w:p w14:paraId="3FB99613" w14:textId="3A95C8C7" w:rsidR="000F70A3" w:rsidRPr="000F70A3" w:rsidRDefault="000F70A3" w:rsidP="004E2004">
      <w:pPr>
        <w:pStyle w:val="621TextnumberedlistTextstylesTextstyles"/>
      </w:pPr>
      <w:r w:rsidRPr="000F70A3">
        <w:t>Explore parental consulting attitudes in relation to influenza/ILI (work package b)</w:t>
      </w:r>
    </w:p>
    <w:p w14:paraId="4DBF2CC5" w14:textId="2CE4CA97" w:rsidR="000F70A3" w:rsidRPr="000F70A3" w:rsidRDefault="000F70A3" w:rsidP="004E2004">
      <w:pPr>
        <w:pStyle w:val="621TextnumberedlistTextstylesTextstyles"/>
      </w:pPr>
      <w:r w:rsidRPr="000F70A3">
        <w:t>Determine the effectiveness of early co-amoxiclav use in at risk children with influenza/ILI (work package c)</w:t>
      </w:r>
    </w:p>
    <w:p w14:paraId="3A25618D" w14:textId="65DFE2BC" w:rsidR="000F70A3" w:rsidRPr="000F70A3" w:rsidRDefault="000F70A3" w:rsidP="004E2004">
      <w:pPr>
        <w:pStyle w:val="621TextnumberedlistTextstylesTextstyles"/>
      </w:pPr>
      <w:r w:rsidRPr="000F70A3">
        <w:t>Examine the impact on antimicrobial resistance of early co-amoxiclav use in at risk children with influenza/ILI (work package d)</w:t>
      </w:r>
    </w:p>
    <w:p w14:paraId="471C2BD9" w14:textId="5F3B46DC" w:rsidR="000F70A3" w:rsidRPr="000F70A3" w:rsidRDefault="000F70A3" w:rsidP="004E2004">
      <w:pPr>
        <w:pStyle w:val="621TextnumberedlistTextstylesTextstyles"/>
      </w:pPr>
      <w:r w:rsidRPr="000F70A3">
        <w:t>Determine the impact on long-term respiratory bacterial carriage of early co-amoxiclav use in at risk children with influenza/ILI (work package d)</w:t>
      </w:r>
    </w:p>
    <w:p w14:paraId="1ECB0491" w14:textId="3DE05E58" w:rsidR="000F70A3" w:rsidRPr="000F70A3" w:rsidRDefault="000F70A3" w:rsidP="004E2004">
      <w:pPr>
        <w:pStyle w:val="621TextnumberedlistTextstylesTextstyles"/>
      </w:pPr>
      <w:r w:rsidRPr="000F70A3">
        <w:t>Develop and validate risk scores for influenza-related clinical deterioration and complications for use in children with influenza/ILI (work package e.i)</w:t>
      </w:r>
    </w:p>
    <w:p w14:paraId="6D7AF541" w14:textId="149F6090" w:rsidR="000F70A3" w:rsidRPr="000F70A3" w:rsidRDefault="000F70A3" w:rsidP="004E2004">
      <w:pPr>
        <w:pStyle w:val="6211TextnumberedlistlastTextstylesTextstyles"/>
      </w:pPr>
      <w:r w:rsidRPr="000F70A3">
        <w:t>Explore the cost-effectiveness of different potential strategies for early antibiotic use in at risk children with influenza/ILI (work package e.ii)</w:t>
      </w:r>
    </w:p>
    <w:p w14:paraId="211FC2DD" w14:textId="77777777" w:rsidR="000F70A3" w:rsidRPr="000F70A3" w:rsidRDefault="000F70A3" w:rsidP="004E2004">
      <w:pPr>
        <w:pStyle w:val="52AheadHeadingsHeadingstyles"/>
      </w:pPr>
      <w:r w:rsidRPr="000F70A3">
        <w:t>Work Package Methods &amp; Results</w:t>
      </w:r>
    </w:p>
    <w:p w14:paraId="5A8362B0" w14:textId="77777777" w:rsidR="000F70A3" w:rsidRPr="000F70A3" w:rsidRDefault="000F70A3" w:rsidP="004E2004">
      <w:pPr>
        <w:pStyle w:val="602TextfoTextstylesTextstyles"/>
      </w:pPr>
      <w:r w:rsidRPr="000F70A3">
        <w:t>Objectives were addressed through five separate work packages.</w:t>
      </w:r>
    </w:p>
    <w:p w14:paraId="7D6DE1EF" w14:textId="77777777" w:rsidR="000F70A3" w:rsidRPr="000F70A3" w:rsidRDefault="000F70A3" w:rsidP="004E2004">
      <w:pPr>
        <w:pStyle w:val="53BheadHeadingsHeadingstyles"/>
      </w:pPr>
      <w:r w:rsidRPr="000F70A3">
        <w:t>Work Package A</w:t>
      </w:r>
    </w:p>
    <w:p w14:paraId="7B819285" w14:textId="77777777" w:rsidR="000F70A3" w:rsidRPr="000F70A3" w:rsidRDefault="000F70A3" w:rsidP="004E2004">
      <w:pPr>
        <w:pStyle w:val="54CheadHeadingsHeadingstyles"/>
      </w:pPr>
      <w:r w:rsidRPr="000F70A3">
        <w:t>Methods:</w:t>
      </w:r>
    </w:p>
    <w:p w14:paraId="34DEEC88" w14:textId="77777777" w:rsidR="000F70A3" w:rsidRPr="000F70A3" w:rsidRDefault="000F70A3" w:rsidP="004E2004">
      <w:pPr>
        <w:pStyle w:val="602TextfoTextstylesTextstyles"/>
      </w:pPr>
      <w:r w:rsidRPr="000F70A3">
        <w:t>A systematic review of the existing literature met objective 1 to identify risk factors and assess existing models.</w:t>
      </w:r>
    </w:p>
    <w:p w14:paraId="6724ECC1" w14:textId="77777777" w:rsidR="000F70A3" w:rsidRPr="000F70A3" w:rsidRDefault="000F70A3" w:rsidP="004E2004">
      <w:pPr>
        <w:pStyle w:val="54CheadHeadingsHeadingstyles"/>
      </w:pPr>
      <w:r w:rsidRPr="000F70A3">
        <w:t>Results:</w:t>
      </w:r>
    </w:p>
    <w:p w14:paraId="0E9B8FAB" w14:textId="77777777" w:rsidR="000F70A3" w:rsidRPr="000F70A3" w:rsidRDefault="000F70A3" w:rsidP="004E2004">
      <w:pPr>
        <w:pStyle w:val="602TextfoTextstylesTextstyles"/>
      </w:pPr>
      <w:r w:rsidRPr="000F70A3">
        <w:t xml:space="preserve">The systematic review identified premature birth as a new risk factor for clinical deterioration, particularly in children under the age of 2 years, where most </w:t>
      </w:r>
      <w:r w:rsidRPr="000F70A3">
        <w:rPr>
          <w:highlight w:val="magenta"/>
        </w:rPr>
        <w:t>data</w:t>
      </w:r>
      <w:r w:rsidRPr="000F70A3">
        <w:t xml:space="preserve"> relating to this risk factor were available. Other identified risk factors were neurological disorders, sickle cell disease, immunosuppression and diabetes mellitus. Reactive airway diseases, such as asthma, and obesity were not found to be significant risk factors, although </w:t>
      </w:r>
      <w:r w:rsidRPr="000F70A3">
        <w:rPr>
          <w:highlight w:val="magenta"/>
        </w:rPr>
        <w:t>data</w:t>
      </w:r>
      <w:r w:rsidRPr="000F70A3">
        <w:t xml:space="preserve"> on clinical severity were not available to examine. Presence of multiple co-morbidities was associated with increased risk of hospitalisation.</w:t>
      </w:r>
    </w:p>
    <w:p w14:paraId="00E347A6" w14:textId="77777777" w:rsidR="000F70A3" w:rsidRPr="000F70A3" w:rsidRDefault="000F70A3" w:rsidP="004E2004">
      <w:pPr>
        <w:pStyle w:val="53BheadHeadingsHeadingstyles"/>
      </w:pPr>
      <w:r w:rsidRPr="000F70A3">
        <w:t>Work Package B</w:t>
      </w:r>
    </w:p>
    <w:p w14:paraId="2A406B72" w14:textId="77777777" w:rsidR="000F70A3" w:rsidRPr="000F70A3" w:rsidRDefault="000F70A3" w:rsidP="004E2004">
      <w:pPr>
        <w:pStyle w:val="54CheadHeadingsHeadingstyles"/>
      </w:pPr>
      <w:r w:rsidRPr="000F70A3">
        <w:t>Methods:</w:t>
      </w:r>
    </w:p>
    <w:p w14:paraId="0466BA7A" w14:textId="77777777" w:rsidR="000F70A3" w:rsidRPr="000F70A3" w:rsidRDefault="000F70A3" w:rsidP="004E2004">
      <w:pPr>
        <w:pStyle w:val="602TextfoTextstylesTextstyles"/>
      </w:pPr>
      <w:r w:rsidRPr="000F70A3">
        <w:t>Qualitative research was conducted via interviews with both GPs and parents/guardians of children with underlying medical conditions who had experienced an influenza/ILI episode to address objectives 2</w:t>
      </w:r>
      <w:r w:rsidRPr="000F70A3">
        <w:rPr>
          <w:color w:val="00B0F0"/>
        </w:rPr>
        <w:t>–4</w:t>
      </w:r>
      <w:r w:rsidRPr="000F70A3">
        <w:t>.</w:t>
      </w:r>
    </w:p>
    <w:p w14:paraId="740C92ED" w14:textId="77777777" w:rsidR="000F70A3" w:rsidRPr="000F70A3" w:rsidRDefault="000F70A3" w:rsidP="004E2004">
      <w:pPr>
        <w:pStyle w:val="54CheadHeadingsHeadingstyles"/>
      </w:pPr>
      <w:r w:rsidRPr="000F70A3">
        <w:t>Results:</w:t>
      </w:r>
    </w:p>
    <w:p w14:paraId="216D83ED" w14:textId="77777777" w:rsidR="000F70A3" w:rsidRPr="000F70A3" w:rsidRDefault="000F70A3" w:rsidP="004E2004">
      <w:pPr>
        <w:pStyle w:val="602TextfoTextstylesTextstyles"/>
      </w:pPr>
      <w:r w:rsidRPr="000F70A3">
        <w:t xml:space="preserve">Objective 2: There is considerable variation in how GPs decide to treat </w:t>
      </w:r>
      <w:r w:rsidRPr="000F70A3">
        <w:rPr>
          <w:color w:val="00B0F0"/>
        </w:rPr>
        <w:t>‘</w:t>
      </w:r>
      <w:r w:rsidRPr="000F70A3">
        <w:t>at risk</w:t>
      </w:r>
      <w:r w:rsidRPr="000F70A3">
        <w:rPr>
          <w:color w:val="00B0F0"/>
        </w:rPr>
        <w:t>’</w:t>
      </w:r>
      <w:r w:rsidRPr="000F70A3">
        <w:t xml:space="preserve"> children presenting with ILI. However, their assessments are primarily based on their overall impression of the child</w:t>
      </w:r>
      <w:r w:rsidRPr="000F70A3">
        <w:rPr>
          <w:color w:val="00B0F0"/>
        </w:rPr>
        <w:t>’</w:t>
      </w:r>
      <w:r w:rsidRPr="000F70A3">
        <w:t>s condition, including familial circumstances (i.e. trust in parent/guardian) and local arrangements for out of hours care, and rarely on vaccination status and type of infection (influenza versus other infection) outside influenza pandemic settings.</w:t>
      </w:r>
    </w:p>
    <w:p w14:paraId="016AD3AC" w14:textId="77777777" w:rsidR="000F70A3" w:rsidRPr="000F70A3" w:rsidRDefault="000F70A3" w:rsidP="004E2004">
      <w:pPr>
        <w:pStyle w:val="602TextfoTextstylesTextstyles"/>
      </w:pPr>
      <w:r w:rsidRPr="000F70A3">
        <w:t xml:space="preserve">Objective 3: Parents of children with underlying risk factors noticed that their children tended to deteriorate quickly if they developed ILI and would take longer to recover </w:t>
      </w:r>
      <w:r w:rsidRPr="000F70A3">
        <w:rPr>
          <w:highlight w:val="magenta"/>
        </w:rPr>
        <w:t>compared to</w:t>
      </w:r>
      <w:r w:rsidRPr="000F70A3">
        <w:t xml:space="preserve"> otherwise healthy children. In some cases, the management of the child</w:t>
      </w:r>
      <w:r w:rsidRPr="000F70A3">
        <w:rPr>
          <w:color w:val="00B0F0"/>
        </w:rPr>
        <w:t>’</w:t>
      </w:r>
      <w:r w:rsidRPr="000F70A3">
        <w:t>s underlying condition also changed and took time to get back to normal. ILI episodes resulting in serious illness caused significant disruption and challenges in relation to parents</w:t>
      </w:r>
      <w:r w:rsidRPr="000F70A3">
        <w:rPr>
          <w:color w:val="00B0F0"/>
        </w:rPr>
        <w:t>’</w:t>
      </w:r>
      <w:r w:rsidRPr="000F70A3">
        <w:t xml:space="preserve"> work, children</w:t>
      </w:r>
      <w:r w:rsidRPr="000F70A3">
        <w:rPr>
          <w:color w:val="00B0F0"/>
        </w:rPr>
        <w:t>’</w:t>
      </w:r>
      <w:r w:rsidRPr="000F70A3">
        <w:t>s attendance at school or day care and managing household arrangements and finances.</w:t>
      </w:r>
    </w:p>
    <w:p w14:paraId="7A472647" w14:textId="77777777" w:rsidR="000F70A3" w:rsidRPr="000F70A3" w:rsidRDefault="000F70A3" w:rsidP="004E2004">
      <w:pPr>
        <w:pStyle w:val="602TextfoTextstylesTextstyles"/>
      </w:pPr>
      <w:r w:rsidRPr="000F70A3">
        <w:t>Objective 4: Parents valued being able to seek advice from clinicians who knew their children well. Some would make contact with the child</w:t>
      </w:r>
      <w:r w:rsidRPr="000F70A3">
        <w:rPr>
          <w:color w:val="00B0F0"/>
        </w:rPr>
        <w:t>’</w:t>
      </w:r>
      <w:r w:rsidRPr="000F70A3">
        <w:t>s specialist team directly if the child developed ILI, or stay in telephone contact with their GP. Factors which prompted parents to seek medical advice included high temperatures not resolving despite repeated doses of paracetamol and ibuprofen, reduced oral fluid intake, or symptoms persisting for a longer time than they felt comfortable with managing at home.</w:t>
      </w:r>
    </w:p>
    <w:p w14:paraId="169465DC" w14:textId="77777777" w:rsidR="000F70A3" w:rsidRPr="000F70A3" w:rsidRDefault="000F70A3" w:rsidP="004E2004">
      <w:pPr>
        <w:pStyle w:val="602TextfoTextstylesTextstyles"/>
      </w:pPr>
      <w:r w:rsidRPr="000F70A3">
        <w:t xml:space="preserve">Parents were on the whole aware of the dangers of antimicrobial resistance and that antibiotics should not typically be used to treat viral illness. However attitudes towards antibiotics were positive, including their use as prophylactic treatment. Parents interviewed discussed rapid, and sometimes unexpected, deterioration in their child when unwell with an influenza like illness </w:t>
      </w:r>
      <w:r w:rsidRPr="000F70A3">
        <w:rPr>
          <w:highlight w:val="magenta"/>
        </w:rPr>
        <w:t>due to</w:t>
      </w:r>
      <w:r w:rsidRPr="000F70A3">
        <w:t xml:space="preserve"> their child</w:t>
      </w:r>
      <w:r w:rsidRPr="000F70A3">
        <w:rPr>
          <w:color w:val="00B0F0"/>
        </w:rPr>
        <w:t>’</w:t>
      </w:r>
      <w:r w:rsidRPr="000F70A3">
        <w:t>s underlying health condition.</w:t>
      </w:r>
    </w:p>
    <w:p w14:paraId="561475DF" w14:textId="77777777" w:rsidR="000F70A3" w:rsidRPr="000F70A3" w:rsidRDefault="000F70A3" w:rsidP="004E2004">
      <w:pPr>
        <w:pStyle w:val="53BheadHeadingsHeadingstyles"/>
      </w:pPr>
      <w:r w:rsidRPr="000F70A3">
        <w:t>Work Package C</w:t>
      </w:r>
    </w:p>
    <w:p w14:paraId="69FADAC1" w14:textId="77777777" w:rsidR="000F70A3" w:rsidRPr="000F70A3" w:rsidRDefault="000F70A3" w:rsidP="004E2004">
      <w:pPr>
        <w:pStyle w:val="602TextfoTextstylesTextstyles"/>
      </w:pPr>
      <w:r w:rsidRPr="000F70A3">
        <w:t>Some text in this section has been adapted with permission of the ERS 2022: European Respiratory Journal 2021 58: 2002819; DOI: 10.1183/13993003.02819</w:t>
      </w:r>
      <w:r w:rsidRPr="000F70A3">
        <w:rPr>
          <w:color w:val="00B0F0"/>
        </w:rPr>
        <w:t>–2</w:t>
      </w:r>
      <w:r w:rsidRPr="000F70A3">
        <w:t>020.</w:t>
      </w:r>
      <w:r w:rsidRPr="000F70A3">
        <w:rPr>
          <w:noProof/>
          <w:vertAlign w:val="superscript"/>
        </w:rPr>
        <w:t>1</w:t>
      </w:r>
      <w:r w:rsidRPr="000F70A3">
        <w:t xml:space="preserve"> The text below includes minor additions and formatting changes to the original text.</w:t>
      </w:r>
    </w:p>
    <w:p w14:paraId="57A709C9" w14:textId="77777777" w:rsidR="000F70A3" w:rsidRPr="000F70A3" w:rsidRDefault="000F70A3" w:rsidP="004E2004">
      <w:pPr>
        <w:pStyle w:val="54CheadHeadingsHeadingstyles"/>
      </w:pPr>
      <w:r w:rsidRPr="000F70A3">
        <w:t>Methods:</w:t>
      </w:r>
    </w:p>
    <w:p w14:paraId="3E2F3E89" w14:textId="77777777" w:rsidR="000F70A3" w:rsidRPr="000F70A3" w:rsidRDefault="000F70A3" w:rsidP="004E2004">
      <w:pPr>
        <w:pStyle w:val="602TextfoTextstylesTextstyles"/>
        <w:rPr>
          <w:bCs/>
        </w:rPr>
      </w:pPr>
      <w:r w:rsidRPr="000F70A3">
        <w:t xml:space="preserve">A randomised double-blind placebo-controlled clinical trial to determine if early treatment with co-amoxiclav vs placebo reduces risk of re-consultation </w:t>
      </w:r>
      <w:r w:rsidRPr="000F70A3">
        <w:rPr>
          <w:highlight w:val="magenta"/>
        </w:rPr>
        <w:t>due to</w:t>
      </w:r>
      <w:r w:rsidRPr="000F70A3">
        <w:t xml:space="preserve"> clinical deterioration in </w:t>
      </w:r>
      <w:r w:rsidRPr="000F70A3">
        <w:rPr>
          <w:color w:val="00B0F0"/>
        </w:rPr>
        <w:t>‘</w:t>
      </w:r>
      <w:r w:rsidRPr="000F70A3">
        <w:t>at risk</w:t>
      </w:r>
      <w:r w:rsidRPr="000F70A3">
        <w:rPr>
          <w:color w:val="00B0F0"/>
        </w:rPr>
        <w:t>’</w:t>
      </w:r>
      <w:r w:rsidRPr="000F70A3">
        <w:t xml:space="preserve"> children who present with ILI addressed objective 5. </w:t>
      </w:r>
      <w:r w:rsidRPr="000F70A3">
        <w:rPr>
          <w:bCs/>
        </w:rPr>
        <w:t>Re-consultation was defined in our trial protocol as any subsequent visit to a primary care or other equivalent ambulatory care setting including but not limited to out of hours primary care centres, Accident and Emergency departments, day assessment units and specialist clinics. We defined clinical deterioration as worsening symptoms, development of new symptoms or development of complications requiring medication or hospitalisation.</w:t>
      </w:r>
    </w:p>
    <w:p w14:paraId="357ED16E" w14:textId="77777777" w:rsidR="000F70A3" w:rsidRPr="000F70A3" w:rsidRDefault="000F70A3" w:rsidP="004E2004">
      <w:pPr>
        <w:pStyle w:val="54CheadHeadingsHeadingstyles"/>
      </w:pPr>
      <w:r w:rsidRPr="000F70A3">
        <w:t>Results:</w:t>
      </w:r>
    </w:p>
    <w:p w14:paraId="5D35439F" w14:textId="77777777" w:rsidR="000F70A3" w:rsidRPr="000F70A3" w:rsidRDefault="000F70A3" w:rsidP="004E2004">
      <w:pPr>
        <w:pStyle w:val="602TextfoTextstylesTextstyles"/>
      </w:pPr>
      <w:r w:rsidRPr="000F70A3">
        <w:t xml:space="preserve">A total of 271 participants were recruited to the clinical trial (co-amoxiclav </w:t>
      </w:r>
      <w:r w:rsidRPr="000F70A3">
        <w:rPr>
          <w:i/>
          <w:color w:val="00B0F0"/>
        </w:rPr>
        <w:t xml:space="preserve">n = </w:t>
      </w:r>
      <w:r w:rsidRPr="000F70A3">
        <w:t xml:space="preserve">136, placebo </w:t>
      </w:r>
      <w:r w:rsidRPr="000F70A3">
        <w:rPr>
          <w:i/>
          <w:color w:val="00B0F0"/>
        </w:rPr>
        <w:t xml:space="preserve">n = </w:t>
      </w:r>
      <w:r w:rsidRPr="000F70A3">
        <w:t xml:space="preserve">135) with primary outcome </w:t>
      </w:r>
      <w:r w:rsidRPr="000F70A3">
        <w:rPr>
          <w:highlight w:val="magenta"/>
        </w:rPr>
        <w:t>data</w:t>
      </w:r>
      <w:r w:rsidRPr="000F70A3">
        <w:t xml:space="preserve"> being available for 265 participants (co-amoxiclav </w:t>
      </w:r>
      <w:r w:rsidRPr="000F70A3">
        <w:rPr>
          <w:i/>
          <w:color w:val="00B0F0"/>
        </w:rPr>
        <w:t xml:space="preserve">n = </w:t>
      </w:r>
      <w:r w:rsidRPr="000F70A3">
        <w:t xml:space="preserve">133, placebo </w:t>
      </w:r>
      <w:r w:rsidRPr="000F70A3">
        <w:rPr>
          <w:i/>
          <w:color w:val="00B0F0"/>
        </w:rPr>
        <w:t xml:space="preserve">n = </w:t>
      </w:r>
      <w:r w:rsidRPr="000F70A3">
        <w:t xml:space="preserve">132). At least one re-consultation </w:t>
      </w:r>
      <w:r w:rsidRPr="000F70A3">
        <w:rPr>
          <w:highlight w:val="magenta"/>
        </w:rPr>
        <w:t>due to</w:t>
      </w:r>
      <w:r w:rsidRPr="000F70A3">
        <w:t xml:space="preserve"> clinical deterioration was recorded in 33/133 children randomised to co-amoxiclav (24.8%) and 28/132 children randomised to placebo (21.2%). There was no evidence of a difference in clinical deterioration between groups after adjustment for stratification and minimisation factors (adjusted risk ratio [RR] 1.16, 95% confidence interval [CI] 0.75 to 1.80; unadjusted RR 1.17, 95% CI 0.75 to 1.82, unadjusted risk difference 3.6%, 95% CI </w:t>
      </w:r>
      <w:r w:rsidRPr="000F70A3">
        <w:rPr>
          <w:color w:val="00B0F0"/>
        </w:rPr>
        <w:t>–6</w:t>
      </w:r>
      <w:r w:rsidRPr="000F70A3">
        <w:t xml:space="preserve">.5% to 13.7%). An exploratory subgroup analysis of participants with laboratory confirmed influenza showed the proportion of children who re-consulted </w:t>
      </w:r>
      <w:r w:rsidRPr="000F70A3">
        <w:rPr>
          <w:highlight w:val="magenta"/>
        </w:rPr>
        <w:t>due to</w:t>
      </w:r>
      <w:r w:rsidRPr="000F70A3">
        <w:t xml:space="preserve"> clinical deterioration was lower in the co-amoxiclav group (5/21, 23.8%) than in the placebo group (6/16, 37.5%). However, this result was not shown to be statistically significant and should be interpreted with caution </w:t>
      </w:r>
      <w:r w:rsidRPr="000F70A3">
        <w:rPr>
          <w:highlight w:val="magenta"/>
        </w:rPr>
        <w:t>due to</w:t>
      </w:r>
      <w:r w:rsidRPr="000F70A3">
        <w:t xml:space="preserve"> the limited number of children in this subgroup. Unadjusted analyses comparing durations of symptoms and fever between groups found that participants randomised to the co-amoxiclav arm reported shorter duration of disturbed sleep (co-amoxiclav: median 4 days, (interquartile range 2 to 6) versus placebo: median 7 days (interquartile range 3 to 11, P = 0.021). However, after adjustment, a statistically significant difference in duration of disturbed sleep was no longer observed between the co-amoxiclav and placebo groups. Instead, duration of shortness of breath was found to be significantly shorter in the co-amoxiclav group (adjusted median difference [days] </w:t>
      </w:r>
      <w:r w:rsidRPr="000F70A3">
        <w:rPr>
          <w:rFonts w:ascii="Calibri" w:hAnsi="Calibri" w:cs="Calibri"/>
          <w:color w:val="00B0F0"/>
          <w:lang w:eastAsia="en-GB"/>
        </w:rPr>
        <w:t>–2</w:t>
      </w:r>
      <w:r w:rsidRPr="000F70A3">
        <w:rPr>
          <w:rFonts w:ascii="Calibri" w:hAnsi="Calibri" w:cs="Calibri"/>
          <w:lang w:eastAsia="en-GB"/>
        </w:rPr>
        <w:t xml:space="preserve">.00, 95% confidence interval </w:t>
      </w:r>
      <w:r w:rsidRPr="000F70A3">
        <w:rPr>
          <w:rFonts w:ascii="Calibri" w:hAnsi="Calibri" w:cs="Calibri"/>
          <w:color w:val="00B0F0"/>
          <w:lang w:eastAsia="en-GB"/>
        </w:rPr>
        <w:t>–3</w:t>
      </w:r>
      <w:r w:rsidRPr="000F70A3">
        <w:rPr>
          <w:rFonts w:ascii="Calibri" w:hAnsi="Calibri" w:cs="Calibri"/>
          <w:lang w:eastAsia="en-GB"/>
        </w:rPr>
        <w:t xml:space="preserve">.89 to </w:t>
      </w:r>
      <w:r w:rsidRPr="000F70A3">
        <w:rPr>
          <w:rFonts w:ascii="Calibri" w:hAnsi="Calibri" w:cs="Calibri"/>
          <w:color w:val="00B0F0"/>
          <w:lang w:eastAsia="en-GB"/>
        </w:rPr>
        <w:t>–0</w:t>
      </w:r>
      <w:r w:rsidRPr="000F70A3">
        <w:rPr>
          <w:rFonts w:ascii="Calibri" w:hAnsi="Calibri" w:cs="Calibri"/>
          <w:lang w:eastAsia="en-GB"/>
        </w:rPr>
        <w:t>.11, P = 0.038).</w:t>
      </w:r>
    </w:p>
    <w:p w14:paraId="5F7022B8" w14:textId="77777777" w:rsidR="000F70A3" w:rsidRPr="000F70A3" w:rsidRDefault="000F70A3" w:rsidP="004E2004">
      <w:pPr>
        <w:pStyle w:val="53BheadHeadingsHeadingstyles"/>
      </w:pPr>
      <w:r w:rsidRPr="000F70A3">
        <w:t>Work Package D</w:t>
      </w:r>
    </w:p>
    <w:p w14:paraId="6BF0E5A0" w14:textId="77777777" w:rsidR="000F70A3" w:rsidRPr="000F70A3" w:rsidRDefault="000F70A3" w:rsidP="004E2004">
      <w:pPr>
        <w:pStyle w:val="54CheadHeadingsHeadingstyles"/>
      </w:pPr>
      <w:r w:rsidRPr="000F70A3">
        <w:t>Methods:</w:t>
      </w:r>
    </w:p>
    <w:p w14:paraId="13A623D6" w14:textId="77777777" w:rsidR="000F70A3" w:rsidRPr="000F70A3" w:rsidRDefault="000F70A3" w:rsidP="004E2004">
      <w:pPr>
        <w:pStyle w:val="602TextfoTextstylesTextstyles"/>
      </w:pPr>
      <w:r w:rsidRPr="000F70A3">
        <w:t>To address objectives 6</w:t>
      </w:r>
      <w:r w:rsidRPr="000F70A3">
        <w:rPr>
          <w:color w:val="00B0F0"/>
        </w:rPr>
        <w:t>–7</w:t>
      </w:r>
      <w:r w:rsidRPr="000F70A3">
        <w:t>, a nested sub study was conducted within the clinical trial to assess if there was an impact on antimicrobial resistance or long-term respiratory bacterial carriage in participants randomised to co-amoxiclav versus placebo. Participants who were consented to the sub study were invited for additional throat swabs at 3, 6 and 12 months.</w:t>
      </w:r>
    </w:p>
    <w:p w14:paraId="67B99431" w14:textId="77777777" w:rsidR="000F70A3" w:rsidRPr="000F70A3" w:rsidRDefault="000F70A3" w:rsidP="004E2004">
      <w:pPr>
        <w:pStyle w:val="54CheadHeadingsHeadingstyles"/>
      </w:pPr>
      <w:r w:rsidRPr="000F70A3">
        <w:t>Results:</w:t>
      </w:r>
    </w:p>
    <w:p w14:paraId="557718A1" w14:textId="77777777" w:rsidR="000F70A3" w:rsidRPr="000F70A3" w:rsidRDefault="000F70A3" w:rsidP="004E2004">
      <w:pPr>
        <w:pStyle w:val="602TextfoTextstylesTextstyles"/>
      </w:pPr>
      <w:r w:rsidRPr="000F70A3">
        <w:t xml:space="preserve">We obtained a baseline throat swab for 225/271 participants. However there was a 66% attrition rate and a 12 month swab was only obtained for 93 participants. As a result of this limited </w:t>
      </w:r>
      <w:r w:rsidRPr="000F70A3">
        <w:rPr>
          <w:highlight w:val="magenta"/>
        </w:rPr>
        <w:t>data</w:t>
      </w:r>
      <w:r w:rsidRPr="000F70A3">
        <w:t xml:space="preserve"> only descriptive statistics were possible for the majority of the </w:t>
      </w:r>
      <w:r w:rsidRPr="000F70A3">
        <w:rPr>
          <w:highlight w:val="magenta"/>
        </w:rPr>
        <w:t>data</w:t>
      </w:r>
      <w:r w:rsidRPr="000F70A3">
        <w:t xml:space="preserve"> gathered.</w:t>
      </w:r>
    </w:p>
    <w:p w14:paraId="54F8C9DB" w14:textId="77777777" w:rsidR="000F70A3" w:rsidRPr="000F70A3" w:rsidRDefault="000F70A3" w:rsidP="004E2004">
      <w:pPr>
        <w:pStyle w:val="602TextfoTextstylesTextstyles"/>
      </w:pPr>
      <w:r w:rsidRPr="000F70A3">
        <w:t xml:space="preserve">Objective 6: No evidence was found to suggest that the additional course of antibiotics led to suppression of mixed flora or emergence of other resistant species Methicillin-resistant </w:t>
      </w:r>
      <w:r w:rsidRPr="000F70A3">
        <w:rPr>
          <w:i/>
          <w:color w:val="00B0F0"/>
        </w:rPr>
        <w:t>Staphylococcus aureus</w:t>
      </w:r>
      <w:r w:rsidRPr="000F70A3">
        <w:t xml:space="preserve"> (MRSA).</w:t>
      </w:r>
    </w:p>
    <w:p w14:paraId="6764A994" w14:textId="77777777" w:rsidR="000F70A3" w:rsidRPr="000F70A3" w:rsidRDefault="000F70A3" w:rsidP="004E2004">
      <w:pPr>
        <w:pStyle w:val="602TextfoTextstylesTextstyles"/>
      </w:pPr>
      <w:r w:rsidRPr="000F70A3">
        <w:t xml:space="preserve">Objective 7: </w:t>
      </w:r>
      <w:r w:rsidRPr="000F70A3">
        <w:rPr>
          <w:i/>
        </w:rPr>
        <w:t>Haemophilus influenzae</w:t>
      </w:r>
      <w:r w:rsidRPr="000F70A3">
        <w:t xml:space="preserve"> was the most common pathogen isolated (23% of all isolates). A chi squared test was applied to these </w:t>
      </w:r>
      <w:r w:rsidRPr="000F70A3">
        <w:rPr>
          <w:highlight w:val="magenta"/>
        </w:rPr>
        <w:t>data</w:t>
      </w:r>
      <w:r w:rsidRPr="000F70A3">
        <w:t xml:space="preserve"> in regards to co-amoxiclav versus placebo (29% vs. 18% respectively, ChiSq = 4.03, </w:t>
      </w:r>
      <w:r w:rsidRPr="000F70A3">
        <w:rPr>
          <w:i/>
          <w:color w:val="00B0F0"/>
        </w:rPr>
        <w:t>p</w:t>
      </w:r>
      <w:r w:rsidRPr="000F70A3">
        <w:rPr>
          <w:color w:val="00B0F0"/>
        </w:rPr>
        <w:t>&lt; 0</w:t>
      </w:r>
      <w:r w:rsidRPr="000F70A3">
        <w:t xml:space="preserve">.05) and there were no statistically significant differences in prevalence of </w:t>
      </w:r>
      <w:r w:rsidRPr="000F70A3">
        <w:rPr>
          <w:i/>
        </w:rPr>
        <w:t>Haemophilus influenzae</w:t>
      </w:r>
      <w:r w:rsidRPr="000F70A3">
        <w:t xml:space="preserve"> at 3, 6, or 12 months between the two arms.</w:t>
      </w:r>
    </w:p>
    <w:p w14:paraId="1BCA767F" w14:textId="77777777" w:rsidR="000F70A3" w:rsidRPr="000F70A3" w:rsidRDefault="000F70A3" w:rsidP="004E2004">
      <w:pPr>
        <w:pStyle w:val="53BheadHeadingsHeadingstyles"/>
      </w:pPr>
      <w:r w:rsidRPr="000F70A3">
        <w:t>Work Package E</w:t>
      </w:r>
    </w:p>
    <w:p w14:paraId="4130B6E9" w14:textId="77777777" w:rsidR="000F70A3" w:rsidRPr="000F70A3" w:rsidRDefault="000F70A3" w:rsidP="004E2004">
      <w:pPr>
        <w:pStyle w:val="54CheadHeadingsHeadingstyles"/>
      </w:pPr>
      <w:r w:rsidRPr="000F70A3">
        <w:t>Methods:</w:t>
      </w:r>
    </w:p>
    <w:p w14:paraId="04E5DB25" w14:textId="77777777" w:rsidR="000F70A3" w:rsidRPr="000F70A3" w:rsidRDefault="000F70A3" w:rsidP="004E2004">
      <w:pPr>
        <w:pStyle w:val="602TextfoTextstylesTextstyles"/>
      </w:pPr>
      <w:r w:rsidRPr="000F70A3">
        <w:t xml:space="preserve">To address objective 8 </w:t>
      </w:r>
      <w:r w:rsidRPr="000F70A3">
        <w:rPr>
          <w:highlight w:val="magenta"/>
        </w:rPr>
        <w:t>data</w:t>
      </w:r>
      <w:r w:rsidRPr="000F70A3">
        <w:t xml:space="preserve"> collected during the clinical trial were used to compile risk reduction scores where sufficient </w:t>
      </w:r>
      <w:r w:rsidRPr="000F70A3">
        <w:rPr>
          <w:highlight w:val="magenta"/>
        </w:rPr>
        <w:t>data</w:t>
      </w:r>
      <w:r w:rsidRPr="000F70A3">
        <w:t xml:space="preserve"> were available. To address objective 9, a within-trial health economics cost analysis was conducted.</w:t>
      </w:r>
    </w:p>
    <w:p w14:paraId="0114CD66" w14:textId="77777777" w:rsidR="000F70A3" w:rsidRPr="000F70A3" w:rsidRDefault="000F70A3" w:rsidP="004E2004">
      <w:pPr>
        <w:pStyle w:val="54CheadHeadingsHeadingstyles"/>
      </w:pPr>
      <w:r w:rsidRPr="000F70A3">
        <w:t>Results:</w:t>
      </w:r>
    </w:p>
    <w:p w14:paraId="161862F3" w14:textId="77777777" w:rsidR="000F70A3" w:rsidRPr="000F70A3" w:rsidRDefault="000F70A3" w:rsidP="004E2004">
      <w:pPr>
        <w:pStyle w:val="602TextfoTextstylesTextstyles"/>
      </w:pPr>
      <w:r w:rsidRPr="000F70A3">
        <w:t xml:space="preserve">Objective 8: Limited available </w:t>
      </w:r>
      <w:r w:rsidRPr="000F70A3">
        <w:rPr>
          <w:highlight w:val="magenta"/>
        </w:rPr>
        <w:t>data</w:t>
      </w:r>
      <w:r w:rsidRPr="000F70A3">
        <w:t xml:space="preserve"> meant that the planned risk score calculations could not be completed in full. From the </w:t>
      </w:r>
      <w:r w:rsidRPr="000F70A3">
        <w:rPr>
          <w:highlight w:val="magenta"/>
        </w:rPr>
        <w:t>data</w:t>
      </w:r>
      <w:r w:rsidRPr="000F70A3">
        <w:t xml:space="preserve"> available there was no evidence of increased risk of clinical deterioration associated with treatment arm (co-amoxiclav versus placebo), risk factor in respiratory category versus other risk factors, or recruitment in secondary care versus primary care. An increased risk of clinical deterioration was observed for higher respiratory rate at baseline and a decreased risk observed if there was a smoker in the household</w:t>
      </w:r>
      <w:r w:rsidRPr="000F70A3">
        <w:rPr>
          <w:color w:val="00B0F0"/>
        </w:rPr>
        <w:t>. Owing to</w:t>
      </w:r>
      <w:r w:rsidRPr="000F70A3">
        <w:t xml:space="preserve"> the limited number of clinical deterioration events, however, these should be interpreted with caution.</w:t>
      </w:r>
    </w:p>
    <w:p w14:paraId="4098D427" w14:textId="77777777" w:rsidR="000F70A3" w:rsidRPr="000F70A3" w:rsidRDefault="000F70A3" w:rsidP="004E2004">
      <w:pPr>
        <w:pStyle w:val="602TextfoTextstylesTextstyles"/>
      </w:pPr>
      <w:r w:rsidRPr="000F70A3">
        <w:t xml:space="preserve">Objective 9: The pre-trial cost-effectiveness decision model highlighted the need for a trial to be undertaken </w:t>
      </w:r>
      <w:r w:rsidRPr="000F70A3">
        <w:rPr>
          <w:highlight w:val="magenta"/>
        </w:rPr>
        <w:t>due to</w:t>
      </w:r>
      <w:r w:rsidRPr="000F70A3">
        <w:t xml:space="preserve"> the lack of published evidence to inform the parameters of pre-trial cost analysis model. Despite extensive consultation with parents and young people regarding preferred outcome measures prior to the trial only 27% of day 28 diaries were received. A statistically non-significant trend towards lower non-medication costs and total costs for participants randomised to co-amoxiclav vs. placebo was observed. However, larger studies would be needed to confirm this trend. The mean total cost per patient was </w:t>
      </w:r>
      <w:r w:rsidRPr="000F70A3">
        <w:rPr>
          <w:color w:val="00B0F0"/>
        </w:rPr>
        <w:t>£</w:t>
      </w:r>
      <w:r w:rsidRPr="000F70A3">
        <w:t xml:space="preserve">94(SD480) in the co-amoxiclav group, and £122 (SD539) in the placebo group (adjusted between group difference </w:t>
      </w:r>
      <w:r w:rsidRPr="000F70A3">
        <w:rPr>
          <w:color w:val="00B0F0"/>
        </w:rPr>
        <w:t>–2</w:t>
      </w:r>
      <w:r w:rsidRPr="000F70A3">
        <w:t xml:space="preserve">5 (95% CI </w:t>
      </w:r>
      <w:r w:rsidRPr="000F70A3">
        <w:rPr>
          <w:color w:val="00B0F0"/>
        </w:rPr>
        <w:t>–1</w:t>
      </w:r>
      <w:r w:rsidRPr="000F70A3">
        <w:t xml:space="preserve">13,62), </w:t>
      </w:r>
      <w:r w:rsidRPr="000F70A3">
        <w:rPr>
          <w:i/>
          <w:color w:val="00B0F0"/>
        </w:rPr>
        <w:t>p</w:t>
      </w:r>
      <w:r w:rsidRPr="000F70A3">
        <w:t>-value = 0.566).</w:t>
      </w:r>
    </w:p>
    <w:p w14:paraId="420FB346" w14:textId="77777777" w:rsidR="000F70A3" w:rsidRPr="000F70A3" w:rsidRDefault="000F70A3" w:rsidP="004E2004">
      <w:pPr>
        <w:pStyle w:val="53BheadHeadingsHeadingstyles"/>
      </w:pPr>
      <w:r w:rsidRPr="000F70A3">
        <w:t>Strengths and Limitations</w:t>
      </w:r>
    </w:p>
    <w:p w14:paraId="6F5D5127" w14:textId="77777777" w:rsidR="000F70A3" w:rsidRPr="000F70A3" w:rsidRDefault="000F70A3" w:rsidP="004E2004">
      <w:pPr>
        <w:pStyle w:val="602TextfoTextstylesTextstyles"/>
      </w:pPr>
      <w:r w:rsidRPr="000F70A3">
        <w:t xml:space="preserve">Work conducted as part of work packages a and b has contributed evidence towards identifying which comorbidities may make children more susceptible to clinical deterioration when consulting with influenza-like illness. It has also contributed to understanding the decision-making process of clinicians treating </w:t>
      </w:r>
      <w:r w:rsidRPr="000F70A3">
        <w:rPr>
          <w:color w:val="00B0F0"/>
        </w:rPr>
        <w:t>‘</w:t>
      </w:r>
      <w:r w:rsidRPr="000F70A3">
        <w:t>at risk</w:t>
      </w:r>
      <w:r w:rsidRPr="000F70A3">
        <w:rPr>
          <w:color w:val="00B0F0"/>
        </w:rPr>
        <w:t>’</w:t>
      </w:r>
      <w:r w:rsidRPr="000F70A3">
        <w:t xml:space="preserve"> children and the concerns of their parents. This is an essential component in determining the acceptability of any change in treatment guidance.</w:t>
      </w:r>
    </w:p>
    <w:p w14:paraId="69FF455E" w14:textId="77777777" w:rsidR="000F70A3" w:rsidRPr="000F70A3" w:rsidRDefault="000F70A3" w:rsidP="004E2004">
      <w:pPr>
        <w:pStyle w:val="602TextfoTextstylesTextstyles"/>
      </w:pPr>
      <w:r w:rsidRPr="000F70A3">
        <w:t>The most significant limitation is lower than anticipated recruitment into our clinical trial. Recruitment was hindered by low levels of influenza circulating in the United Kingdom (UK) during recruiting seasons of 2015</w:t>
      </w:r>
      <w:r w:rsidRPr="000F70A3">
        <w:rPr>
          <w:color w:val="00B0F0"/>
        </w:rPr>
        <w:t>–2</w:t>
      </w:r>
      <w:r w:rsidRPr="000F70A3">
        <w:t xml:space="preserve">018. Logistical and capacity issues also occurred at recruiting sites making opportunistic recruitment difficult. Lower than anticipated recruitment into the clinical trial and a lower than anticipated proportion of children re-consulting </w:t>
      </w:r>
      <w:r w:rsidRPr="000F70A3">
        <w:rPr>
          <w:highlight w:val="magenta"/>
        </w:rPr>
        <w:t>due to</w:t>
      </w:r>
      <w:r w:rsidRPr="000F70A3">
        <w:t xml:space="preserve"> clinical deterioration impacted on our microbiology (work package d), risk reduction score calculation (work package e.ii) and health economic (work package e.ii) strands as they were reliant on </w:t>
      </w:r>
      <w:r w:rsidRPr="000F70A3">
        <w:rPr>
          <w:highlight w:val="magenta"/>
        </w:rPr>
        <w:t>follow up</w:t>
      </w:r>
      <w:r w:rsidRPr="000F70A3">
        <w:t xml:space="preserve"> and </w:t>
      </w:r>
      <w:r w:rsidRPr="000F70A3">
        <w:rPr>
          <w:highlight w:val="magenta"/>
        </w:rPr>
        <w:t>data</w:t>
      </w:r>
      <w:r w:rsidRPr="000F70A3">
        <w:t xml:space="preserve"> collected from work package c. We did not nest any qualitative research within the trial. This might have helped us gain a better understanding of factors which drive parents to re-consult and the potential impact of taking part in the trial on health care professional behaviours. The qualitative work conducted within this programme primarily involved parents of younger children. This may have implications for the generalisability of our findings to older children with known risk factors. The case vignette we devised for our interview study with GPs also described a young child with potential risk factors for clinical deterioration. This may have elicited different responses from interview participants from those which may have been elicited had we presented a scenario involving an older child alongside or instead of the scenario we devised.</w:t>
      </w:r>
    </w:p>
    <w:p w14:paraId="01151F43" w14:textId="77777777" w:rsidR="000F70A3" w:rsidRPr="000F70A3" w:rsidRDefault="000F70A3" w:rsidP="004E2004">
      <w:pPr>
        <w:pStyle w:val="53BheadHeadingsHeadingstyles"/>
        <w:rPr>
          <w:rFonts w:eastAsia="Calibri"/>
        </w:rPr>
      </w:pPr>
      <w:r w:rsidRPr="000F70A3">
        <w:rPr>
          <w:rFonts w:eastAsia="Calibri"/>
        </w:rPr>
        <w:t>Conclusions</w:t>
      </w:r>
    </w:p>
    <w:p w14:paraId="225D0756" w14:textId="77777777" w:rsidR="000F70A3" w:rsidRPr="000F70A3" w:rsidRDefault="000F70A3" w:rsidP="004E2004">
      <w:pPr>
        <w:pStyle w:val="602TextfoTextstylesTextstyles"/>
        <w:rPr>
          <w:rFonts w:eastAsia="Calibri"/>
        </w:rPr>
      </w:pPr>
      <w:r w:rsidRPr="000F70A3">
        <w:rPr>
          <w:rFonts w:eastAsia="Calibri"/>
        </w:rPr>
        <w:t xml:space="preserve">Our clinical trial results showed no evidence that early co-amoxiclav treatment in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presenting in primary or ambulatory care with influenza-like illness is effective in reducing re-consultation </w:t>
      </w:r>
      <w:r w:rsidRPr="000F70A3">
        <w:rPr>
          <w:rFonts w:eastAsia="Calibri"/>
          <w:highlight w:val="magenta"/>
        </w:rPr>
        <w:t>due to</w:t>
      </w:r>
      <w:r w:rsidRPr="000F70A3">
        <w:rPr>
          <w:rFonts w:eastAsia="Calibri"/>
        </w:rPr>
        <w:t xml:space="preserve"> clinical deterioration. However exploratory subgroup analysis results suggest that, for at risk children with laboratory-confirmed influenza, early co-amoxiclav treatment may be effective. No evidence of increased </w:t>
      </w:r>
      <w:r w:rsidRPr="000F70A3">
        <w:rPr>
          <w:rFonts w:eastAsia="Calibri"/>
          <w:highlight w:val="magenta"/>
        </w:rPr>
        <w:t>incidence</w:t>
      </w:r>
      <w:r w:rsidRPr="000F70A3">
        <w:rPr>
          <w:rFonts w:eastAsia="Calibri"/>
        </w:rPr>
        <w:t xml:space="preserve"> of antibiotic resistance being associated with the five day course of co-amoxiclav was observed in work package D. </w:t>
      </w:r>
      <w:r w:rsidRPr="000F70A3">
        <w:rPr>
          <w:rFonts w:cs="Calibri"/>
          <w:lang w:eastAsia="en-GB"/>
        </w:rPr>
        <w:t xml:space="preserve">Our within-trial economic evaluation did not find evidence that early co-amoxiclav treatment improves quality of life or reduces healthcare use and costs in </w:t>
      </w:r>
      <w:r w:rsidRPr="000F70A3">
        <w:rPr>
          <w:rFonts w:cs="Calibri"/>
          <w:color w:val="00B0F0"/>
          <w:lang w:eastAsia="en-GB"/>
        </w:rPr>
        <w:t>‘</w:t>
      </w:r>
      <w:r w:rsidRPr="000F70A3">
        <w:rPr>
          <w:rFonts w:cs="Calibri"/>
          <w:lang w:eastAsia="en-GB"/>
        </w:rPr>
        <w:t>at risk</w:t>
      </w:r>
      <w:r w:rsidRPr="000F70A3">
        <w:rPr>
          <w:rFonts w:cs="Calibri"/>
          <w:color w:val="00B0F0"/>
          <w:lang w:eastAsia="en-GB"/>
        </w:rPr>
        <w:t>’</w:t>
      </w:r>
      <w:r w:rsidRPr="000F70A3">
        <w:rPr>
          <w:rFonts w:cs="Calibri"/>
          <w:lang w:eastAsia="en-GB"/>
        </w:rPr>
        <w:t xml:space="preserve"> children with ILI. </w:t>
      </w:r>
      <w:r w:rsidRPr="000F70A3">
        <w:rPr>
          <w:rFonts w:eastAsia="Calibri"/>
        </w:rPr>
        <w:t>A statistically non-significant trend towards lower non medication and total costs was observed in the co-amoxiclav arm vs placebo arms in work package E.II but larger trials would be necessary to confirm this.</w:t>
      </w:r>
    </w:p>
    <w:p w14:paraId="65EF3858" w14:textId="77777777" w:rsidR="000F70A3" w:rsidRPr="000F70A3" w:rsidRDefault="000F70A3" w:rsidP="004E2004">
      <w:pPr>
        <w:pStyle w:val="53BheadHeadingsHeadingstyles"/>
        <w:rPr>
          <w:rFonts w:eastAsia="Calibri"/>
          <w:color w:val="00B0F0"/>
        </w:rPr>
      </w:pPr>
      <w:r w:rsidRPr="000F70A3">
        <w:rPr>
          <w:rFonts w:eastAsia="Calibri"/>
        </w:rPr>
        <w:t>Future Work</w:t>
      </w:r>
    </w:p>
    <w:p w14:paraId="255185F6" w14:textId="77777777" w:rsidR="000F70A3" w:rsidRPr="000F70A3" w:rsidRDefault="000F70A3" w:rsidP="004E2004">
      <w:pPr>
        <w:pStyle w:val="602TextfoTextstylesTextstyles"/>
        <w:rPr>
          <w:rFonts w:eastAsia="Calibri"/>
        </w:rPr>
      </w:pPr>
      <w:r w:rsidRPr="000F70A3">
        <w:rPr>
          <w:rFonts w:eastAsia="Calibri"/>
          <w:i/>
          <w:color w:val="00B0F0"/>
        </w:rPr>
        <w:t>Owing to</w:t>
      </w:r>
      <w:r w:rsidRPr="000F70A3">
        <w:rPr>
          <w:rFonts w:eastAsia="Calibri"/>
        </w:rPr>
        <w:t xml:space="preserve"> only a small subset (37/271) of clinical trial participants testing positive for influenza at baseline the question of if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with influenza (rather than influenza-like illness) would benefit from antibiotic treatment early on in their illness remains open. More research is needed to determine the clinical and </w:t>
      </w:r>
      <w:r w:rsidRPr="000F70A3">
        <w:rPr>
          <w:rFonts w:eastAsia="Calibri"/>
          <w:color w:val="00B0F0"/>
        </w:rPr>
        <w:t>cost-effective</w:t>
      </w:r>
      <w:r w:rsidRPr="000F70A3">
        <w:rPr>
          <w:rFonts w:eastAsia="Calibri"/>
        </w:rPr>
        <w:t xml:space="preserve">ness of early antibiotic treatment during periods of high influenza activity, such as influenza pandemics, and to explore strategies for identifying children with ILI who would potentially gain most clinical benefit from early antibiotic treatment. These strategies may include consideration of local surveillance </w:t>
      </w:r>
      <w:r w:rsidRPr="000F70A3">
        <w:rPr>
          <w:rFonts w:eastAsia="Calibri"/>
          <w:highlight w:val="magenta"/>
        </w:rPr>
        <w:t>data</w:t>
      </w:r>
      <w:r w:rsidRPr="000F70A3">
        <w:rPr>
          <w:rFonts w:eastAsia="Calibri"/>
        </w:rPr>
        <w:t xml:space="preserve"> on influenza and other respiratory infections, point of care testing for influenza and other potentially pathogenic respiratory infections and risk prediction scores to identify children at greatest risk of serious complications from acute respiratory tract infections. Most acute respiratory tract infections presenting in primary care have initially been assessed remotely since the start of the Covi</w:t>
      </w:r>
      <w:r w:rsidRPr="000F70A3">
        <w:rPr>
          <w:rFonts w:eastAsia="Calibri"/>
          <w:color w:val="00B0F0"/>
        </w:rPr>
        <w:t>d-1</w:t>
      </w:r>
      <w:r w:rsidRPr="000F70A3">
        <w:rPr>
          <w:rFonts w:eastAsia="Calibri"/>
        </w:rPr>
        <w:t>9 pandemic</w:t>
      </w:r>
      <w:r w:rsidRPr="000F70A3">
        <w:rPr>
          <w:rFonts w:eastAsia="Calibri"/>
          <w:highlight w:val="magenta"/>
        </w:rPr>
        <w:t>. Further</w:t>
      </w:r>
      <w:r w:rsidRPr="000F70A3">
        <w:rPr>
          <w:rFonts w:eastAsia="Calibri"/>
        </w:rPr>
        <w:t xml:space="preserve"> research to inform remote assessment of risk would also be informative in guiding clinical decisions about when early antibiotic treatment should be considered and parental decisions about when to seek the advice of a health care professional when their child has ILI. Future qualitative research should potentially explore the views of parents, children and health care professionals on such strategies and aim to understand clinical decision-making and health care seeking behaviour across a wider range of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groups and clinical scenarios.</w:t>
      </w:r>
    </w:p>
    <w:p w14:paraId="438D056F" w14:textId="77777777" w:rsidR="000F70A3" w:rsidRPr="000F70A3" w:rsidRDefault="000F70A3" w:rsidP="004E2004">
      <w:pPr>
        <w:pStyle w:val="602TextfoTextstylesTextstyles"/>
        <w:rPr>
          <w:rFonts w:eastAsia="Calibri"/>
        </w:rPr>
      </w:pPr>
      <w:r w:rsidRPr="000F70A3">
        <w:rPr>
          <w:rFonts w:eastAsia="Calibri"/>
        </w:rPr>
        <w:t>The ARCHIE Programme is funded by the National Institute for Health Research (NIHR) Programme Grants for Applied Research Programme (project reference RP-P</w:t>
      </w:r>
      <w:r w:rsidRPr="000F70A3">
        <w:rPr>
          <w:rFonts w:eastAsia="Calibri"/>
          <w:color w:val="00B0F0"/>
        </w:rPr>
        <w:t>G-1</w:t>
      </w:r>
      <w:r w:rsidRPr="000F70A3">
        <w:rPr>
          <w:rFonts w:eastAsia="Calibri"/>
        </w:rPr>
        <w:t>210</w:t>
      </w:r>
      <w:r w:rsidRPr="000F70A3">
        <w:rPr>
          <w:rFonts w:eastAsia="Calibri"/>
          <w:color w:val="00B0F0"/>
        </w:rPr>
        <w:t>–1</w:t>
      </w:r>
      <w:r w:rsidRPr="000F70A3">
        <w:rPr>
          <w:rFonts w:eastAsia="Calibri"/>
        </w:rPr>
        <w:t>2012). The views expressed are those of the author(s) and not necessarily those of the NIHR or the Department of Health and Social Care.</w:t>
      </w:r>
    </w:p>
    <w:p w14:paraId="14164FB7" w14:textId="77777777" w:rsidR="000F70A3" w:rsidRPr="000F70A3" w:rsidRDefault="000F70A3" w:rsidP="004E2004">
      <w:pPr>
        <w:pStyle w:val="602TextfoTextstylesTextstyles"/>
        <w:rPr>
          <w:rFonts w:eastAsia="Calibri"/>
        </w:rPr>
      </w:pPr>
      <w:r w:rsidRPr="000F70A3">
        <w:rPr>
          <w:rFonts w:eastAsia="Calibri"/>
        </w:rPr>
        <w:t>The trial is registered at the ISRCTN registry (identifier ISRCTN70714783) and the EudraCT database (identifier 2013</w:t>
      </w:r>
      <w:r w:rsidRPr="000F70A3">
        <w:rPr>
          <w:rFonts w:eastAsia="Calibri"/>
          <w:color w:val="00B0F0"/>
        </w:rPr>
        <w:t>–0</w:t>
      </w:r>
      <w:r w:rsidRPr="000F70A3">
        <w:rPr>
          <w:rFonts w:eastAsia="Calibri"/>
        </w:rPr>
        <w:t>02822</w:t>
      </w:r>
      <w:r w:rsidRPr="000F70A3">
        <w:rPr>
          <w:rFonts w:eastAsia="Calibri"/>
          <w:color w:val="00B0F0"/>
        </w:rPr>
        <w:t>–2</w:t>
      </w:r>
      <w:r w:rsidRPr="000F70A3">
        <w:rPr>
          <w:rFonts w:eastAsia="Calibri"/>
        </w:rPr>
        <w:t>1).</w:t>
      </w:r>
    </w:p>
    <w:p w14:paraId="36FCD189" w14:textId="554B5460" w:rsidR="000F70A3" w:rsidRPr="004727BD" w:rsidRDefault="000F70A3" w:rsidP="004727BD">
      <w:pPr>
        <w:pStyle w:val="43ChaptertitleHeadingsHeadingstyles"/>
      </w:pPr>
      <w:bookmarkStart w:id="8" w:name="_Toc61506828"/>
      <w:bookmarkStart w:id="9" w:name="_Toc106099121"/>
      <w:r w:rsidRPr="004727BD">
        <w:t>Full Report Synopsis</w:t>
      </w:r>
      <w:bookmarkEnd w:id="8"/>
      <w:bookmarkEnd w:id="9"/>
    </w:p>
    <w:p w14:paraId="1BFF3523" w14:textId="77777777" w:rsidR="000F70A3" w:rsidRPr="000F70A3" w:rsidRDefault="000F70A3" w:rsidP="001F0425">
      <w:pPr>
        <w:pStyle w:val="52AheadHeadingsHeadingstyles"/>
        <w:rPr>
          <w:rFonts w:eastAsia="DengXian Light"/>
        </w:rPr>
      </w:pPr>
      <w:r w:rsidRPr="000F70A3">
        <w:rPr>
          <w:rFonts w:eastAsia="DengXian Light"/>
        </w:rPr>
        <w:t>Research Summary</w:t>
      </w:r>
    </w:p>
    <w:p w14:paraId="28A63451" w14:textId="77777777" w:rsidR="000F70A3" w:rsidRPr="000F70A3" w:rsidRDefault="000F70A3" w:rsidP="001F0425">
      <w:pPr>
        <w:pStyle w:val="602TextfoTextstylesTextstyles"/>
      </w:pPr>
      <w:r w:rsidRPr="000F70A3">
        <w:t>There were no substantial changes to the research plan proposed in the submitted grant application and all work packages were completed. However as work packages d and e were reliant on recruitment to work package c, which was significantly below the calculated sample size of 650, with only 271 participants randomised, it limited the analyses it was possible to conduct for these work packages.</w:t>
      </w:r>
    </w:p>
    <w:p w14:paraId="0B31CE89" w14:textId="77777777" w:rsidR="000F70A3" w:rsidRPr="000F70A3" w:rsidRDefault="000F70A3" w:rsidP="001F0425">
      <w:pPr>
        <w:pStyle w:val="602TextfoTextstylesTextstyles"/>
      </w:pPr>
      <w:r w:rsidRPr="000F70A3">
        <w:t xml:space="preserve">Work package e.i (Risk Reduction Scores) was further restricted by a lower than anticipated rate of primary endpoints (re-consultation </w:t>
      </w:r>
      <w:r w:rsidRPr="000F70A3">
        <w:rPr>
          <w:highlight w:val="magenta"/>
        </w:rPr>
        <w:t>due to</w:t>
      </w:r>
      <w:r w:rsidRPr="000F70A3">
        <w:t xml:space="preserve"> clinical deterioration) being met in the clinical trial. As a result </w:t>
      </w:r>
      <w:r w:rsidRPr="000F70A3">
        <w:rPr>
          <w:highlight w:val="magenta"/>
        </w:rPr>
        <w:t>data</w:t>
      </w:r>
      <w:r w:rsidRPr="000F70A3">
        <w:t xml:space="preserve"> to calculate factors which may </w:t>
      </w:r>
      <w:r w:rsidRPr="000F70A3">
        <w:rPr>
          <w:highlight w:val="magenta"/>
        </w:rPr>
        <w:t>lead</w:t>
      </w:r>
      <w:r w:rsidRPr="000F70A3">
        <w:t xml:space="preserve"> to increased risk of re-consultation is extremely limited.</w:t>
      </w:r>
    </w:p>
    <w:p w14:paraId="10CD1FB6" w14:textId="77777777" w:rsidR="000F70A3" w:rsidRPr="000F70A3" w:rsidRDefault="000F70A3" w:rsidP="001F0425">
      <w:pPr>
        <w:pStyle w:val="602TextfoTextstylesTextstyles"/>
      </w:pPr>
      <w:r w:rsidRPr="000F70A3">
        <w:t>Below is a summary of objectives and methods used for each work package.</w:t>
      </w:r>
    </w:p>
    <w:p w14:paraId="2846369A" w14:textId="77777777" w:rsidR="000F70A3" w:rsidRPr="000F70A3" w:rsidRDefault="000F70A3" w:rsidP="001F0425">
      <w:pPr>
        <w:pStyle w:val="53BheadHeadingsHeadingstyles"/>
      </w:pPr>
      <w:r w:rsidRPr="000F70A3">
        <w:t>Work Package A (Pre work package c – Clinical Trial)</w:t>
      </w:r>
    </w:p>
    <w:p w14:paraId="28A96F3D" w14:textId="77777777" w:rsidR="000F70A3" w:rsidRPr="000F70A3" w:rsidRDefault="000F70A3" w:rsidP="001F0425">
      <w:pPr>
        <w:pStyle w:val="54CheadHeadingsHeadingstyles"/>
      </w:pPr>
      <w:r w:rsidRPr="000F70A3">
        <w:t>Objectives:</w:t>
      </w:r>
    </w:p>
    <w:p w14:paraId="071D40F8" w14:textId="67740F17" w:rsidR="000F70A3" w:rsidRPr="000F70A3" w:rsidRDefault="000F70A3" w:rsidP="001F0425">
      <w:pPr>
        <w:pStyle w:val="621TextnumberedlistTextstylesTextstyles"/>
      </w:pPr>
      <w:r w:rsidRPr="000F70A3">
        <w:t>Identify risk factors and assess the reliability of published prognostic models for influenza-related complications in children</w:t>
      </w:r>
    </w:p>
    <w:p w14:paraId="08521A5A" w14:textId="77777777" w:rsidR="000F70A3" w:rsidRPr="000F70A3" w:rsidRDefault="000F70A3" w:rsidP="001F0425">
      <w:pPr>
        <w:pStyle w:val="54CheadHeadingsHeadingstyles"/>
      </w:pPr>
      <w:r w:rsidRPr="000F70A3">
        <w:t>Methods:</w:t>
      </w:r>
    </w:p>
    <w:p w14:paraId="50C9A145" w14:textId="77777777" w:rsidR="000F70A3" w:rsidRPr="000F70A3" w:rsidRDefault="000F70A3" w:rsidP="001F0425">
      <w:pPr>
        <w:pStyle w:val="602TextfoTextstylesTextstyles"/>
      </w:pPr>
      <w:r w:rsidRPr="000F70A3">
        <w:t>A systematic review of the existing literature to identify risk factors and assess existing models.</w:t>
      </w:r>
    </w:p>
    <w:p w14:paraId="623CC535" w14:textId="77777777" w:rsidR="000F70A3" w:rsidRPr="000F70A3" w:rsidRDefault="000F70A3" w:rsidP="001F0425">
      <w:pPr>
        <w:pStyle w:val="53BheadHeadingsHeadingstyles"/>
      </w:pPr>
      <w:r w:rsidRPr="000F70A3">
        <w:t>Work Package B (Pre and Concurrent with work package c – Clinical Trial)</w:t>
      </w:r>
    </w:p>
    <w:p w14:paraId="506666BB" w14:textId="77777777" w:rsidR="000F70A3" w:rsidRPr="000F70A3" w:rsidRDefault="000F70A3" w:rsidP="001F0425">
      <w:pPr>
        <w:pStyle w:val="54CheadHeadingsHeadingstyles"/>
      </w:pPr>
      <w:r w:rsidRPr="000F70A3">
        <w:t>Objectives:</w:t>
      </w:r>
    </w:p>
    <w:p w14:paraId="03800408" w14:textId="4A06679C" w:rsidR="000F70A3" w:rsidRPr="000F70A3" w:rsidRDefault="000F70A3" w:rsidP="001F0425">
      <w:pPr>
        <w:pStyle w:val="621TextnumberedlistTextstylesTextstyles"/>
      </w:pPr>
      <w:r w:rsidRPr="000F70A3">
        <w:t>Understand what factors influence GPs</w:t>
      </w:r>
      <w:r w:rsidRPr="000F70A3">
        <w:rPr>
          <w:color w:val="00B0F0"/>
        </w:rPr>
        <w:t>’</w:t>
      </w:r>
      <w:r w:rsidRPr="000F70A3">
        <w:t xml:space="preserve"> decisions about antibiotic prescribing for at risk children with influenza/ILI</w:t>
      </w:r>
    </w:p>
    <w:p w14:paraId="61275031" w14:textId="15C4EF86" w:rsidR="000F70A3" w:rsidRPr="000F70A3" w:rsidRDefault="000F70A3" w:rsidP="001F0425">
      <w:pPr>
        <w:pStyle w:val="621TextnumberedlistTextstylesTextstyles"/>
      </w:pPr>
      <w:r w:rsidRPr="000F70A3">
        <w:t xml:space="preserve">Explore the experiences of parents of </w:t>
      </w:r>
      <w:r w:rsidRPr="000F70A3">
        <w:rPr>
          <w:color w:val="00B0F0"/>
        </w:rPr>
        <w:t>‘</w:t>
      </w:r>
      <w:r w:rsidRPr="000F70A3">
        <w:t>at risk</w:t>
      </w:r>
      <w:r w:rsidRPr="000F70A3">
        <w:rPr>
          <w:color w:val="00B0F0"/>
        </w:rPr>
        <w:t>’</w:t>
      </w:r>
      <w:r w:rsidRPr="000F70A3">
        <w:t xml:space="preserve"> children who have previously become unwell </w:t>
      </w:r>
      <w:r w:rsidRPr="000F70A3">
        <w:rPr>
          <w:highlight w:val="magenta"/>
        </w:rPr>
        <w:t>due to</w:t>
      </w:r>
      <w:r w:rsidRPr="000F70A3">
        <w:t xml:space="preserve"> influenza/ILI</w:t>
      </w:r>
    </w:p>
    <w:p w14:paraId="3C3C44DD" w14:textId="0947D126" w:rsidR="000F70A3" w:rsidRPr="000F70A3" w:rsidRDefault="000F70A3" w:rsidP="001F0425">
      <w:pPr>
        <w:pStyle w:val="6211TextnumberedlistlastTextstylesTextstyles"/>
      </w:pPr>
      <w:r w:rsidRPr="000F70A3">
        <w:t>Explore parental consulting attitudes in relation to influenza/ILI</w:t>
      </w:r>
    </w:p>
    <w:p w14:paraId="6F2A9CB0" w14:textId="77777777" w:rsidR="000F70A3" w:rsidRPr="000F70A3" w:rsidRDefault="000F70A3" w:rsidP="001F0425">
      <w:pPr>
        <w:pStyle w:val="54CheadHeadingsHeadingstyles"/>
      </w:pPr>
      <w:r w:rsidRPr="000F70A3">
        <w:t>Methods:</w:t>
      </w:r>
    </w:p>
    <w:p w14:paraId="50C9F3F0" w14:textId="77777777" w:rsidR="000F70A3" w:rsidRPr="000F70A3" w:rsidRDefault="000F70A3" w:rsidP="001F0425">
      <w:pPr>
        <w:pStyle w:val="602TextfoTextstylesTextstyles"/>
      </w:pPr>
      <w:r w:rsidRPr="000F70A3">
        <w:t>We conducted Qualitative research via interviews with both GPs and parents/guardians of children with underlying medical conditions who had experienced an influenza/ILI episode to address objectives.</w:t>
      </w:r>
    </w:p>
    <w:p w14:paraId="6EA01C85" w14:textId="77777777" w:rsidR="000F70A3" w:rsidRPr="000F70A3" w:rsidRDefault="000F70A3" w:rsidP="001F0425">
      <w:pPr>
        <w:pStyle w:val="53BheadHeadingsHeadingstyles"/>
      </w:pPr>
      <w:r w:rsidRPr="000F70A3">
        <w:t>Work Package C – Clinical Trial</w:t>
      </w:r>
    </w:p>
    <w:p w14:paraId="0F730E75" w14:textId="77777777" w:rsidR="000F70A3" w:rsidRPr="000F70A3" w:rsidRDefault="000F70A3" w:rsidP="001F0425">
      <w:pPr>
        <w:pStyle w:val="54CheadHeadingsHeadingstyles"/>
      </w:pPr>
      <w:r w:rsidRPr="000F70A3">
        <w:t>Objective:</w:t>
      </w:r>
    </w:p>
    <w:p w14:paraId="4BFE66F6" w14:textId="1EA0F2A5" w:rsidR="000F70A3" w:rsidRPr="000F70A3" w:rsidRDefault="000F70A3" w:rsidP="001F0425">
      <w:pPr>
        <w:pStyle w:val="621TextnumberedlistTextstylesTextstyles"/>
      </w:pPr>
      <w:r w:rsidRPr="000F70A3">
        <w:t>Determine the effectiveness of early co-amoxiclav use in at risk children with influenza/ILI</w:t>
      </w:r>
    </w:p>
    <w:p w14:paraId="79C0B7A4" w14:textId="77777777" w:rsidR="000F70A3" w:rsidRPr="000F70A3" w:rsidRDefault="000F70A3" w:rsidP="001F0425">
      <w:pPr>
        <w:pStyle w:val="54CheadHeadingsHeadingstyles"/>
      </w:pPr>
      <w:r w:rsidRPr="000F70A3">
        <w:t>Methods:</w:t>
      </w:r>
    </w:p>
    <w:p w14:paraId="71520B55" w14:textId="77777777" w:rsidR="000F70A3" w:rsidRPr="000F70A3" w:rsidRDefault="000F70A3" w:rsidP="001F0425">
      <w:pPr>
        <w:pStyle w:val="602TextfoTextstylesTextstyles"/>
      </w:pPr>
      <w:r w:rsidRPr="000F70A3">
        <w:t xml:space="preserve">A randomised double-blind placebo-controlled clinical trial to determine if early treatment with co-amoxiclav vs placebo reduces risk of re-consultation </w:t>
      </w:r>
      <w:r w:rsidRPr="000F70A3">
        <w:rPr>
          <w:highlight w:val="magenta"/>
        </w:rPr>
        <w:t>due to</w:t>
      </w:r>
      <w:r w:rsidRPr="000F70A3">
        <w:t xml:space="preserve"> clinical deterioration in </w:t>
      </w:r>
      <w:r w:rsidRPr="000F70A3">
        <w:rPr>
          <w:color w:val="00B0F0"/>
        </w:rPr>
        <w:t>‘</w:t>
      </w:r>
      <w:r w:rsidRPr="000F70A3">
        <w:t>at risk</w:t>
      </w:r>
      <w:r w:rsidRPr="000F70A3">
        <w:rPr>
          <w:color w:val="00B0F0"/>
        </w:rPr>
        <w:t>’</w:t>
      </w:r>
      <w:r w:rsidRPr="000F70A3">
        <w:t xml:space="preserve"> children who present with ILI.</w:t>
      </w:r>
    </w:p>
    <w:p w14:paraId="7389A659" w14:textId="77777777" w:rsidR="000F70A3" w:rsidRPr="000F70A3" w:rsidRDefault="000F70A3" w:rsidP="001F0425">
      <w:pPr>
        <w:pStyle w:val="53BheadHeadingsHeadingstyles"/>
      </w:pPr>
      <w:r w:rsidRPr="000F70A3">
        <w:t>Work Package D (Concurrent and Post work package c – Clinical Trial)</w:t>
      </w:r>
    </w:p>
    <w:p w14:paraId="02BFA8E2" w14:textId="77777777" w:rsidR="000F70A3" w:rsidRPr="000F70A3" w:rsidRDefault="000F70A3" w:rsidP="001F0425">
      <w:pPr>
        <w:pStyle w:val="54CheadHeadingsHeadingstyles"/>
      </w:pPr>
      <w:r w:rsidRPr="000F70A3">
        <w:t>Objectives:</w:t>
      </w:r>
    </w:p>
    <w:p w14:paraId="0DBEA605" w14:textId="4E7D7A0E" w:rsidR="000F70A3" w:rsidRPr="000F70A3" w:rsidRDefault="000F70A3" w:rsidP="001F0425">
      <w:pPr>
        <w:pStyle w:val="621TextnumberedlistTextstylesTextstyles"/>
      </w:pPr>
      <w:r w:rsidRPr="000F70A3">
        <w:t>Examine the impact on antimicrobial resistance of early co-amoxiclav use in at risk children with influenza/ILI</w:t>
      </w:r>
    </w:p>
    <w:p w14:paraId="65F3BEF8" w14:textId="3E9678DB" w:rsidR="000F70A3" w:rsidRPr="000F70A3" w:rsidRDefault="000F70A3" w:rsidP="001F0425">
      <w:pPr>
        <w:pStyle w:val="6211TextnumberedlistlastTextstylesTextstyles"/>
      </w:pPr>
      <w:r w:rsidRPr="000F70A3">
        <w:t>Determine the impact on long-term respiratory bacterial carriage of early co-amoxiclav use in at risk children with influenza/ILI</w:t>
      </w:r>
    </w:p>
    <w:p w14:paraId="52F226EE" w14:textId="77777777" w:rsidR="000F70A3" w:rsidRPr="000F70A3" w:rsidRDefault="000F70A3" w:rsidP="001F0425">
      <w:pPr>
        <w:pStyle w:val="54CheadHeadingsHeadingstyles"/>
      </w:pPr>
      <w:r w:rsidRPr="000F70A3">
        <w:t>Methods:</w:t>
      </w:r>
    </w:p>
    <w:p w14:paraId="2ECC5573" w14:textId="77777777" w:rsidR="000F70A3" w:rsidRPr="000F70A3" w:rsidRDefault="000F70A3" w:rsidP="001F0425">
      <w:pPr>
        <w:pStyle w:val="602TextfoTextstylesTextstyles"/>
      </w:pPr>
      <w:r w:rsidRPr="000F70A3">
        <w:t>We conducted a nested sub study within the clinical trial to assess if there was an impact on antimicrobial resistance or long-term respiratory bacterial carriage in participants randomised to co-amoxiclav versus placebo. Participants who were consented to the sub study were invited for additional throat swabs at 3, 6 and 12 months.</w:t>
      </w:r>
    </w:p>
    <w:p w14:paraId="6FF6E036" w14:textId="77777777" w:rsidR="000F70A3" w:rsidRPr="000F70A3" w:rsidRDefault="000F70A3" w:rsidP="001F0425">
      <w:pPr>
        <w:pStyle w:val="53BheadHeadingsHeadingstyles"/>
      </w:pPr>
      <w:r w:rsidRPr="000F70A3">
        <w:t>Work Package E (Post work package c- Clinical Trial)</w:t>
      </w:r>
    </w:p>
    <w:p w14:paraId="6D0463BC" w14:textId="77777777" w:rsidR="000F70A3" w:rsidRPr="000F70A3" w:rsidRDefault="000F70A3" w:rsidP="001F0425">
      <w:pPr>
        <w:pStyle w:val="54CheadHeadingsHeadingstyles"/>
      </w:pPr>
      <w:r w:rsidRPr="000F70A3">
        <w:t>Objectives:</w:t>
      </w:r>
    </w:p>
    <w:p w14:paraId="5C7327B2" w14:textId="0ABD8592" w:rsidR="000F70A3" w:rsidRPr="000F70A3" w:rsidRDefault="000F70A3" w:rsidP="001F0425">
      <w:pPr>
        <w:pStyle w:val="621TextnumberedlistTextstylesTextstyles"/>
      </w:pPr>
      <w:r w:rsidRPr="000F70A3">
        <w:t>Develop and validate risk scores for influenza-related clinical deterioration and complications for use in children with influenza/ILI (work package e.i)</w:t>
      </w:r>
    </w:p>
    <w:p w14:paraId="48C6B001" w14:textId="294F677B" w:rsidR="000F70A3" w:rsidRPr="000F70A3" w:rsidRDefault="000F70A3" w:rsidP="001F0425">
      <w:pPr>
        <w:pStyle w:val="6211TextnumberedlistlastTextstylesTextstyles"/>
      </w:pPr>
      <w:r w:rsidRPr="000F70A3">
        <w:t>Explore the cost-effectiveness of different potential strategies for early antibiotic use in at risk children with influenza/ILI (work package e.ii)</w:t>
      </w:r>
    </w:p>
    <w:p w14:paraId="095AF620" w14:textId="77777777" w:rsidR="000F70A3" w:rsidRPr="000F70A3" w:rsidRDefault="000F70A3" w:rsidP="001F0425">
      <w:pPr>
        <w:pStyle w:val="54CheadHeadingsHeadingstyles"/>
      </w:pPr>
      <w:r w:rsidRPr="000F70A3">
        <w:t>Methods:</w:t>
      </w:r>
    </w:p>
    <w:p w14:paraId="01A0E25A" w14:textId="77777777" w:rsidR="000F70A3" w:rsidRPr="000F70A3" w:rsidRDefault="000F70A3" w:rsidP="001F0425">
      <w:pPr>
        <w:pStyle w:val="602TextfoTextstylesTextstyles"/>
      </w:pPr>
      <w:r w:rsidRPr="000F70A3">
        <w:t xml:space="preserve">To address objective 1 </w:t>
      </w:r>
      <w:r w:rsidRPr="000F70A3">
        <w:rPr>
          <w:highlight w:val="magenta"/>
        </w:rPr>
        <w:t>data</w:t>
      </w:r>
      <w:r w:rsidRPr="000F70A3">
        <w:t xml:space="preserve"> collected during the clinical trial were used to compile risk reduction scores where sufficient </w:t>
      </w:r>
      <w:r w:rsidRPr="000F70A3">
        <w:rPr>
          <w:highlight w:val="magenta"/>
        </w:rPr>
        <w:t>data</w:t>
      </w:r>
      <w:r w:rsidRPr="000F70A3">
        <w:t xml:space="preserve"> were available. To address objective 2 a within-trial health economics cost analysis was conducted.</w:t>
      </w:r>
    </w:p>
    <w:p w14:paraId="14183711" w14:textId="77777777" w:rsidR="000F70A3" w:rsidRPr="000F70A3" w:rsidRDefault="000F70A3" w:rsidP="001F0425">
      <w:pPr>
        <w:pStyle w:val="52AheadHeadingsHeadingstyles"/>
        <w:rPr>
          <w:rFonts w:eastAsia="DengXian Light"/>
        </w:rPr>
      </w:pPr>
      <w:bookmarkStart w:id="10" w:name="_Toc61506829"/>
      <w:bookmarkStart w:id="11" w:name="_Toc106099122"/>
      <w:r w:rsidRPr="000F70A3">
        <w:rPr>
          <w:rFonts w:eastAsia="DengXian Light"/>
        </w:rPr>
        <w:t>Background</w:t>
      </w:r>
      <w:bookmarkEnd w:id="10"/>
      <w:bookmarkEnd w:id="11"/>
    </w:p>
    <w:p w14:paraId="00054CA4" w14:textId="77777777" w:rsidR="000F70A3" w:rsidRPr="000F70A3" w:rsidRDefault="000F70A3" w:rsidP="001F0425">
      <w:pPr>
        <w:pStyle w:val="602TextfoTextstylesTextstyles"/>
      </w:pPr>
      <w:r w:rsidRPr="000F70A3">
        <w:t xml:space="preserve">Influenza in children place significant burden on health care resources each year. The 2017 Overall Burden of Disease study estimated that over 2.2 million children younger than 5 years were hospitalised </w:t>
      </w:r>
      <w:r w:rsidRPr="000F70A3">
        <w:rPr>
          <w:highlight w:val="magenta"/>
        </w:rPr>
        <w:t>due to</w:t>
      </w:r>
      <w:r w:rsidRPr="000F70A3">
        <w:t xml:space="preserve"> influenza-related lower respiratory tract infections that year. </w:t>
      </w:r>
      <w:r w:rsidRPr="000F70A3">
        <w:rPr>
          <w:noProof/>
          <w:vertAlign w:val="superscript"/>
        </w:rPr>
        <w:t>2</w:t>
      </w:r>
      <w:r w:rsidRPr="000F70A3">
        <w:t xml:space="preserve"> Around 1.1 million general </w:t>
      </w:r>
      <w:r w:rsidRPr="000F70A3">
        <w:rPr>
          <w:highlight w:val="magenta"/>
        </w:rPr>
        <w:t>practice</w:t>
      </w:r>
      <w:r w:rsidRPr="000F70A3">
        <w:t xml:space="preserve"> consultations and 850,000 hospitalisations </w:t>
      </w:r>
      <w:r w:rsidRPr="000F70A3">
        <w:rPr>
          <w:highlight w:val="magenta"/>
        </w:rPr>
        <w:t>due to</w:t>
      </w:r>
      <w:r w:rsidRPr="000F70A3">
        <w:t xml:space="preserve"> influenza/ILI take place in England each year, of which children younger than 15 years account for 39% consultations and 37% hospitalisations.</w:t>
      </w:r>
      <w:r w:rsidRPr="000F70A3">
        <w:rPr>
          <w:noProof/>
          <w:vertAlign w:val="superscript"/>
        </w:rPr>
        <w:t>3</w:t>
      </w:r>
      <w:r w:rsidRPr="000F70A3">
        <w:t xml:space="preserve"> In 2017</w:t>
      </w:r>
      <w:r w:rsidRPr="000F70A3">
        <w:rPr>
          <w:color w:val="00B0F0"/>
        </w:rPr>
        <w:t>–2</w:t>
      </w:r>
      <w:r w:rsidRPr="000F70A3">
        <w:t xml:space="preserve">018, the ILI consultation rate during the five weeks influenza activity was calculated at the medium to high threshold </w:t>
      </w:r>
      <w:r w:rsidRPr="000F70A3">
        <w:rPr>
          <w:color w:val="00B0F0"/>
        </w:rPr>
        <w:t>among</w:t>
      </w:r>
      <w:r w:rsidRPr="000F70A3">
        <w:t xml:space="preserve"> under 15 year olds in England, an average of 30 children per 100,000 were assessed by their GP each week.</w:t>
      </w:r>
      <w:r w:rsidRPr="000F70A3">
        <w:rPr>
          <w:noProof/>
          <w:vertAlign w:val="superscript"/>
        </w:rPr>
        <w:t>4</w:t>
      </w:r>
    </w:p>
    <w:p w14:paraId="6659D6CD" w14:textId="77777777" w:rsidR="000F70A3" w:rsidRPr="000F70A3" w:rsidRDefault="000F70A3" w:rsidP="001F0425">
      <w:pPr>
        <w:pStyle w:val="602TextfoTextstylesTextstyles"/>
      </w:pPr>
      <w:r w:rsidRPr="000F70A3">
        <w:t xml:space="preserve">While for most children influenza/ILI is a mild and relatively short illness, it is widely considered a predisposing factor for secondary complications, including bacterial infections. Previous studies have demonstrated synergistic adverse effects on illness outcome if the respiratory tract is colonised with influenza and bacteria </w:t>
      </w:r>
      <w:r w:rsidRPr="000F70A3">
        <w:rPr>
          <w:noProof/>
          <w:vertAlign w:val="superscript"/>
        </w:rPr>
        <w:t>5</w:t>
      </w:r>
      <w:r w:rsidRPr="000F70A3">
        <w:rPr>
          <w:noProof/>
          <w:color w:val="00B0F0"/>
          <w:vertAlign w:val="superscript"/>
        </w:rPr>
        <w:t>–8</w:t>
      </w:r>
      <w:r w:rsidRPr="000F70A3">
        <w:t xml:space="preserve">. Secondary complications may result in children consulting a clinician more than once during the same illness episode </w:t>
      </w:r>
      <w:r w:rsidRPr="000F70A3">
        <w:rPr>
          <w:highlight w:val="magenta"/>
        </w:rPr>
        <w:t>due to</w:t>
      </w:r>
      <w:r w:rsidRPr="000F70A3">
        <w:t xml:space="preserve"> clinical deterioration, putting additional strain on the NHS and families during the winter months.</w:t>
      </w:r>
    </w:p>
    <w:p w14:paraId="1F9266E8" w14:textId="77777777" w:rsidR="000F70A3" w:rsidRPr="000F70A3" w:rsidRDefault="000F70A3" w:rsidP="001F0425">
      <w:pPr>
        <w:pStyle w:val="53BheadHeadingsHeadingstyles"/>
      </w:pPr>
      <w:r w:rsidRPr="000F70A3">
        <w:t>Risk of Influenza Complications</w:t>
      </w:r>
    </w:p>
    <w:p w14:paraId="4E829591" w14:textId="77777777" w:rsidR="000F70A3" w:rsidRPr="000F70A3" w:rsidRDefault="000F70A3" w:rsidP="001F0425">
      <w:pPr>
        <w:pStyle w:val="602TextfoTextstylesTextstyles"/>
      </w:pPr>
      <w:r w:rsidRPr="000F70A3">
        <w:t xml:space="preserve">Children who are </w:t>
      </w:r>
      <w:r w:rsidRPr="000F70A3">
        <w:rPr>
          <w:color w:val="00B0F0"/>
        </w:rPr>
        <w:t>‘</w:t>
      </w:r>
      <w:r w:rsidRPr="000F70A3">
        <w:t>at risk</w:t>
      </w:r>
      <w:r w:rsidRPr="000F70A3">
        <w:rPr>
          <w:color w:val="00B0F0"/>
        </w:rPr>
        <w:t>’</w:t>
      </w:r>
      <w:r w:rsidRPr="000F70A3">
        <w:t>, by which we mean they already have an underlying health condition (asthma, diabetes mellitus, Down</w:t>
      </w:r>
      <w:r w:rsidRPr="000F70A3">
        <w:rPr>
          <w:color w:val="00B0F0"/>
        </w:rPr>
        <w:t>’</w:t>
      </w:r>
      <w:r w:rsidRPr="000F70A3">
        <w:t xml:space="preserve">s syndrome etc.) or other risk factor such as prematurity, are more prone to developing secondary complications than otherwise healthy children. Influenza-related complications such as otitis media and pneumonia occur in 18% of </w:t>
      </w:r>
      <w:r w:rsidRPr="000F70A3">
        <w:rPr>
          <w:color w:val="00B0F0"/>
        </w:rPr>
        <w:t>‘</w:t>
      </w:r>
      <w:r w:rsidRPr="000F70A3">
        <w:t>at risk</w:t>
      </w:r>
      <w:r w:rsidRPr="000F70A3">
        <w:rPr>
          <w:color w:val="00B0F0"/>
        </w:rPr>
        <w:t>’</w:t>
      </w:r>
      <w:r w:rsidRPr="000F70A3">
        <w:t xml:space="preserve"> children versus 13% of otherwise healthy children within 30 days of initial presentation</w:t>
      </w:r>
      <w:r w:rsidRPr="000F70A3">
        <w:rPr>
          <w:noProof/>
          <w:vertAlign w:val="superscript"/>
        </w:rPr>
        <w:t>9</w:t>
      </w:r>
      <w:r w:rsidRPr="000F70A3">
        <w:t>.</w:t>
      </w:r>
    </w:p>
    <w:p w14:paraId="02B0B9DD" w14:textId="77777777" w:rsidR="000F70A3" w:rsidRPr="000F70A3" w:rsidRDefault="000F70A3" w:rsidP="001F0425">
      <w:pPr>
        <w:pStyle w:val="602TextfoTextstylesTextstyles"/>
      </w:pPr>
      <w:r w:rsidRPr="000F70A3">
        <w:t xml:space="preserve">Hospitalisation </w:t>
      </w:r>
      <w:r w:rsidRPr="000F70A3">
        <w:rPr>
          <w:highlight w:val="magenta"/>
        </w:rPr>
        <w:t>due to</w:t>
      </w:r>
      <w:r w:rsidRPr="000F70A3">
        <w:t xml:space="preserve"> influenza/ILI is estimated to be five times more likely in </w:t>
      </w:r>
      <w:r w:rsidRPr="000F70A3">
        <w:rPr>
          <w:color w:val="00B0F0"/>
        </w:rPr>
        <w:t>‘</w:t>
      </w:r>
      <w:r w:rsidRPr="000F70A3">
        <w:t>at risk</w:t>
      </w:r>
      <w:r w:rsidRPr="000F70A3">
        <w:rPr>
          <w:color w:val="00B0F0"/>
        </w:rPr>
        <w:t>’</w:t>
      </w:r>
      <w:r w:rsidRPr="000F70A3">
        <w:t xml:space="preserve"> children versus otherwise healthy children aged 0 to 4 years (214.4 versus 41.8 per 1000) and twelve times more likely in </w:t>
      </w:r>
      <w:r w:rsidRPr="000F70A3">
        <w:rPr>
          <w:color w:val="00B0F0"/>
        </w:rPr>
        <w:t>‘</w:t>
      </w:r>
      <w:r w:rsidRPr="000F70A3">
        <w:t>at risk</w:t>
      </w:r>
      <w:r w:rsidRPr="000F70A3">
        <w:rPr>
          <w:color w:val="00B0F0"/>
        </w:rPr>
        <w:t>’</w:t>
      </w:r>
      <w:r w:rsidRPr="000F70A3">
        <w:t xml:space="preserve"> children than otherwise healthy children aged 5 to 14 years (67.1 versus 5.6 per 1000)</w:t>
      </w:r>
      <w:r w:rsidRPr="000F70A3">
        <w:rPr>
          <w:noProof/>
          <w:vertAlign w:val="superscript"/>
        </w:rPr>
        <w:t>10</w:t>
      </w:r>
      <w:r w:rsidRPr="000F70A3">
        <w:t>.</w:t>
      </w:r>
    </w:p>
    <w:p w14:paraId="50D71320" w14:textId="77777777" w:rsidR="000F70A3" w:rsidRPr="000F70A3" w:rsidRDefault="000F70A3" w:rsidP="001F0425">
      <w:pPr>
        <w:pStyle w:val="602TextfoTextstylesTextstyles"/>
      </w:pPr>
      <w:r w:rsidRPr="000F70A3">
        <w:t xml:space="preserve">In the most severe cases, children with influenza/ILI may additionally become infected with </w:t>
      </w:r>
      <w:r w:rsidRPr="000F70A3">
        <w:rPr>
          <w:i/>
        </w:rPr>
        <w:t xml:space="preserve">Streptococcus </w:t>
      </w:r>
      <w:r w:rsidRPr="000F70A3">
        <w:t xml:space="preserve">species and/or </w:t>
      </w:r>
      <w:r w:rsidRPr="000F70A3">
        <w:rPr>
          <w:i/>
          <w:color w:val="00B0F0"/>
        </w:rPr>
        <w:t>Staphylococcus aureus</w:t>
      </w:r>
      <w:r w:rsidRPr="000F70A3">
        <w:rPr>
          <w:i/>
        </w:rPr>
        <w:t xml:space="preserve">. </w:t>
      </w:r>
      <w:r w:rsidRPr="000F70A3">
        <w:t>Co-infection with these pathogens has been associated with an increased risk of influenza-related death in children</w:t>
      </w:r>
      <w:r w:rsidRPr="000F70A3">
        <w:rPr>
          <w:noProof/>
          <w:vertAlign w:val="superscript"/>
        </w:rPr>
        <w:t>11</w:t>
      </w:r>
      <w:r w:rsidRPr="000F70A3">
        <w:t>.</w:t>
      </w:r>
    </w:p>
    <w:p w14:paraId="6605832C" w14:textId="77777777" w:rsidR="000F70A3" w:rsidRPr="000F70A3" w:rsidRDefault="000F70A3" w:rsidP="001F0425">
      <w:pPr>
        <w:pStyle w:val="53BheadHeadingsHeadingstyles"/>
      </w:pPr>
      <w:r w:rsidRPr="000F70A3">
        <w:t>Seasonal Influenza Vaccination Programmes &amp; Their Limitations</w:t>
      </w:r>
    </w:p>
    <w:p w14:paraId="7C8629F0" w14:textId="77777777" w:rsidR="000F70A3" w:rsidRPr="000F70A3" w:rsidRDefault="000F70A3" w:rsidP="001F0425">
      <w:pPr>
        <w:pStyle w:val="602TextfoTextstylesTextstyles"/>
      </w:pPr>
      <w:r w:rsidRPr="000F70A3">
        <w:t xml:space="preserve">Prior to the introduction of the live attenuated influenza vaccine (LAIV) uptake of the seasonal vaccine in </w:t>
      </w:r>
      <w:r w:rsidRPr="000F70A3">
        <w:rPr>
          <w:color w:val="00B0F0"/>
        </w:rPr>
        <w:t>‘</w:t>
      </w:r>
      <w:r w:rsidRPr="000F70A3">
        <w:t>at risk</w:t>
      </w:r>
      <w:r w:rsidRPr="000F70A3">
        <w:rPr>
          <w:color w:val="00B0F0"/>
        </w:rPr>
        <w:t>’</w:t>
      </w:r>
      <w:r w:rsidRPr="000F70A3">
        <w:t xml:space="preserve"> children varied between groups, for example 13.4% in children aged six months to two years with immunosuppression and 22.6% in children with degenerative neurological disease aged two to 16 years in the 2009</w:t>
      </w:r>
      <w:r w:rsidRPr="000F70A3">
        <w:rPr>
          <w:color w:val="00B0F0"/>
        </w:rPr>
        <w:t>–2</w:t>
      </w:r>
      <w:r w:rsidRPr="000F70A3">
        <w:t>010 season.</w:t>
      </w:r>
      <w:r w:rsidRPr="000F70A3">
        <w:rPr>
          <w:noProof/>
          <w:vertAlign w:val="superscript"/>
        </w:rPr>
        <w:t>12</w:t>
      </w:r>
    </w:p>
    <w:p w14:paraId="4203DF2A" w14:textId="77777777" w:rsidR="000F70A3" w:rsidRPr="000F70A3" w:rsidRDefault="000F70A3" w:rsidP="001F0425">
      <w:pPr>
        <w:pStyle w:val="602TextfoTextstylesTextstyles"/>
      </w:pPr>
      <w:r w:rsidRPr="000F70A3">
        <w:t>In preparation for the 2013</w:t>
      </w:r>
      <w:r w:rsidRPr="000F70A3">
        <w:rPr>
          <w:color w:val="00B0F0"/>
        </w:rPr>
        <w:t>–2</w:t>
      </w:r>
      <w:r w:rsidRPr="000F70A3">
        <w:t xml:space="preserve">014 winter season the UK introduced the newly </w:t>
      </w:r>
      <w:r w:rsidRPr="000F70A3">
        <w:rPr>
          <w:color w:val="00B0F0"/>
        </w:rPr>
        <w:t>licenced</w:t>
      </w:r>
      <w:r w:rsidRPr="000F70A3">
        <w:t xml:space="preserve"> LAIV. This vaccine is intranasal and, in addition to delivery in primary care, is delivered in schools as part of an incremental universal vaccine programme. By the 2017</w:t>
      </w:r>
      <w:r w:rsidRPr="000F70A3">
        <w:rPr>
          <w:color w:val="00B0F0"/>
        </w:rPr>
        <w:t>–2</w:t>
      </w:r>
      <w:r w:rsidRPr="000F70A3">
        <w:t xml:space="preserve">018 winter season children aged two to eight years old across the UK were being offered LAIV with higher uptake than previous seasons reported indicating how school programmes have successfully steadily improved uptake rates in this key demographic. </w:t>
      </w:r>
      <w:r w:rsidRPr="000F70A3">
        <w:rPr>
          <w:noProof/>
          <w:vertAlign w:val="superscript"/>
        </w:rPr>
        <w:t>13</w:t>
      </w:r>
    </w:p>
    <w:p w14:paraId="29951537" w14:textId="77777777" w:rsidR="000F70A3" w:rsidRPr="000F70A3" w:rsidRDefault="000F70A3" w:rsidP="001F0425">
      <w:pPr>
        <w:pStyle w:val="602TextfoTextstylesTextstyles"/>
      </w:pPr>
      <w:r w:rsidRPr="000F70A3">
        <w:t xml:space="preserve">Children not yet of school age or classed as </w:t>
      </w:r>
      <w:r w:rsidRPr="000F70A3">
        <w:rPr>
          <w:color w:val="00B0F0"/>
        </w:rPr>
        <w:t>‘</w:t>
      </w:r>
      <w:r w:rsidRPr="000F70A3">
        <w:t>at risk</w:t>
      </w:r>
      <w:r w:rsidRPr="000F70A3">
        <w:rPr>
          <w:color w:val="00B0F0"/>
        </w:rPr>
        <w:t>’</w:t>
      </w:r>
      <w:r w:rsidRPr="000F70A3">
        <w:t xml:space="preserve"> by their GP </w:t>
      </w:r>
      <w:r w:rsidRPr="000F70A3">
        <w:rPr>
          <w:highlight w:val="magenta"/>
        </w:rPr>
        <w:t>practice</w:t>
      </w:r>
      <w:r w:rsidRPr="000F70A3">
        <w:t xml:space="preserve"> continue to be invited to primary care for vaccination. Primary care influenza vaccination uptake rates among </w:t>
      </w:r>
      <w:r w:rsidRPr="000F70A3">
        <w:rPr>
          <w:color w:val="00B0F0"/>
        </w:rPr>
        <w:t>‘</w:t>
      </w:r>
      <w:r w:rsidRPr="000F70A3">
        <w:t>at risk</w:t>
      </w:r>
      <w:r w:rsidRPr="000F70A3">
        <w:rPr>
          <w:color w:val="00B0F0"/>
        </w:rPr>
        <w:t>’</w:t>
      </w:r>
      <w:r w:rsidRPr="000F70A3">
        <w:t xml:space="preserve"> children were only around 50% in children aged two to 16 years and around 20% in children between six months and 2 years of age during the 2017/18 and 2018/19 seasons </w:t>
      </w:r>
      <w:r w:rsidRPr="000F70A3">
        <w:rPr>
          <w:noProof/>
          <w:vertAlign w:val="superscript"/>
        </w:rPr>
        <w:t>14</w:t>
      </w:r>
    </w:p>
    <w:p w14:paraId="575BB958" w14:textId="77777777" w:rsidR="000F70A3" w:rsidRPr="000F70A3" w:rsidRDefault="000F70A3" w:rsidP="001F0425">
      <w:pPr>
        <w:pStyle w:val="602TextfoTextstylesTextstyles"/>
      </w:pPr>
      <w:r w:rsidRPr="000F70A3">
        <w:t>The LAIV vaccine</w:t>
      </w:r>
      <w:r w:rsidRPr="000F70A3">
        <w:rPr>
          <w:color w:val="00B0F0"/>
        </w:rPr>
        <w:t>’</w:t>
      </w:r>
      <w:r w:rsidRPr="000F70A3">
        <w:t xml:space="preserve">s efficacy (VE), as is the case with the inactivated vaccine used to inoculate children under two years and adults, varies from year to year and is </w:t>
      </w:r>
      <w:r w:rsidRPr="000F70A3">
        <w:rPr>
          <w:highlight w:val="magenta"/>
        </w:rPr>
        <w:t>dependent</w:t>
      </w:r>
      <w:r w:rsidRPr="000F70A3">
        <w:t xml:space="preserve"> on the correct circulating strains being identified pre- production. The LAIV vaccine did not provide adequate protection from influenza in North America during the 2015</w:t>
      </w:r>
      <w:r w:rsidRPr="000F70A3">
        <w:rPr>
          <w:color w:val="00B0F0"/>
        </w:rPr>
        <w:t>–2</w:t>
      </w:r>
      <w:r w:rsidRPr="000F70A3">
        <w:t>016 season (3% VE) for example although offered better protection to children in Europe (57.6% VE).</w:t>
      </w:r>
      <w:r w:rsidRPr="000F70A3">
        <w:rPr>
          <w:noProof/>
          <w:vertAlign w:val="superscript"/>
        </w:rPr>
        <w:t>15</w:t>
      </w:r>
      <w:r w:rsidRPr="000F70A3">
        <w:t xml:space="preserve"> Concerns have continued to be voiced in North America, where LAIV has been used for longer, regarding its longterm effectiveness.</w:t>
      </w:r>
      <w:r w:rsidRPr="000F70A3">
        <w:rPr>
          <w:noProof/>
          <w:vertAlign w:val="superscript"/>
        </w:rPr>
        <w:t>13</w:t>
      </w:r>
    </w:p>
    <w:p w14:paraId="74E2410D" w14:textId="77777777" w:rsidR="000F70A3" w:rsidRPr="000F70A3" w:rsidRDefault="000F70A3" w:rsidP="001F0425">
      <w:pPr>
        <w:pStyle w:val="602TextfoTextstylesTextstyles"/>
      </w:pPr>
      <w:r w:rsidRPr="000F70A3">
        <w:t xml:space="preserve">The mutating nature of influenza makes the development of a </w:t>
      </w:r>
      <w:r w:rsidRPr="000F70A3">
        <w:rPr>
          <w:color w:val="00B0F0"/>
        </w:rPr>
        <w:t>‘</w:t>
      </w:r>
      <w:r w:rsidRPr="000F70A3">
        <w:t>universal</w:t>
      </w:r>
      <w:r w:rsidRPr="000F70A3">
        <w:rPr>
          <w:color w:val="00B0F0"/>
        </w:rPr>
        <w:t>’</w:t>
      </w:r>
      <w:r w:rsidRPr="000F70A3">
        <w:t xml:space="preserve"> vaccine difficult, necessitating that alternative strategies, particularly in the event of a pandemic, are considered.</w:t>
      </w:r>
    </w:p>
    <w:p w14:paraId="26E698FE" w14:textId="77777777" w:rsidR="000F70A3" w:rsidRPr="000F70A3" w:rsidRDefault="000F70A3" w:rsidP="001F0425">
      <w:pPr>
        <w:pStyle w:val="53BheadHeadingsHeadingstyles"/>
      </w:pPr>
      <w:r w:rsidRPr="000F70A3">
        <w:t>Anti-viral &amp; Antibiotic Strategies</w:t>
      </w:r>
    </w:p>
    <w:p w14:paraId="7788191E" w14:textId="77777777" w:rsidR="000F70A3" w:rsidRPr="000F70A3" w:rsidRDefault="000F70A3" w:rsidP="001F0425">
      <w:pPr>
        <w:pStyle w:val="602TextfoTextstylesTextstyles"/>
      </w:pPr>
      <w:r w:rsidRPr="000F70A3">
        <w:t xml:space="preserve">The use of neuraminidase inhibitors (NAIs), to treat both seasonal and pandemic influenza is one potential strategy. Evidence of the role of NAIs in </w:t>
      </w:r>
      <w:r w:rsidRPr="000F70A3">
        <w:rPr>
          <w:color w:val="00B0F0"/>
        </w:rPr>
        <w:t>‘</w:t>
      </w:r>
      <w:r w:rsidRPr="000F70A3">
        <w:t>at risk</w:t>
      </w:r>
      <w:r w:rsidRPr="000F70A3">
        <w:rPr>
          <w:color w:val="00B0F0"/>
        </w:rPr>
        <w:t>’</w:t>
      </w:r>
      <w:r w:rsidRPr="000F70A3">
        <w:t xml:space="preserve"> children is currently weak. A Cochrane review of published trials of NAIs for the treatment and prevention of influenza in children before the 2009 pandemic </w:t>
      </w:r>
      <w:r w:rsidRPr="000F70A3">
        <w:rPr>
          <w:noProof/>
          <w:vertAlign w:val="superscript"/>
        </w:rPr>
        <w:t>16</w:t>
      </w:r>
      <w:r w:rsidRPr="000F70A3">
        <w:t xml:space="preserve"> found that NAIs only conferred modest clinical benefit, reducing duration of symptoms in otherwise healthy children with influenza by about one day. None of the included trials were sufficiently powered to look at influenza-related pneumonia or hospitalisation. Only one trial involved children with asthma</w:t>
      </w:r>
      <w:r w:rsidRPr="000F70A3">
        <w:rPr>
          <w:noProof/>
          <w:vertAlign w:val="superscript"/>
        </w:rPr>
        <w:t>17</w:t>
      </w:r>
      <w:r w:rsidRPr="000F70A3">
        <w:t xml:space="preserve"> and found that oseltamivir did not reduce asthma exacerbations or improve peak flow. Oseltamivir is also not </w:t>
      </w:r>
      <w:r w:rsidRPr="000F70A3">
        <w:rPr>
          <w:color w:val="00B0F0"/>
        </w:rPr>
        <w:t>licenced</w:t>
      </w:r>
      <w:r w:rsidRPr="000F70A3">
        <w:t xml:space="preserve"> in children under the age of one year.</w:t>
      </w:r>
      <w:r w:rsidRPr="000F70A3">
        <w:rPr>
          <w:noProof/>
          <w:vertAlign w:val="superscript"/>
        </w:rPr>
        <w:t>18</w:t>
      </w:r>
      <w:r w:rsidRPr="000F70A3">
        <w:t xml:space="preserve"> Zanamivir is not recommended in individuals with underlying airways disease (such as asthma) </w:t>
      </w:r>
      <w:r w:rsidRPr="000F70A3">
        <w:rPr>
          <w:highlight w:val="magenta"/>
        </w:rPr>
        <w:t>due to</w:t>
      </w:r>
      <w:r w:rsidRPr="000F70A3">
        <w:t xml:space="preserve"> risk of serious bronchospasm.</w:t>
      </w:r>
      <w:r w:rsidRPr="000F70A3">
        <w:rPr>
          <w:noProof/>
          <w:vertAlign w:val="superscript"/>
        </w:rPr>
        <w:t>19</w:t>
      </w:r>
    </w:p>
    <w:p w14:paraId="3B3893BA" w14:textId="77777777" w:rsidR="000F70A3" w:rsidRPr="000F70A3" w:rsidRDefault="000F70A3" w:rsidP="001F0425">
      <w:pPr>
        <w:pStyle w:val="602TextfoTextstylesTextstyles"/>
      </w:pPr>
      <w:r w:rsidRPr="000F70A3">
        <w:t>In recognition of the potential serious clinical and socioeconomic consequences of bacterial complications of influenza, and the limitation of vaccination and use of NAI strategies, the UK government stockpiles the antibiotic co-amoxiclav for use during influenza epidemics and pandemics.</w:t>
      </w:r>
    </w:p>
    <w:p w14:paraId="04881BEB" w14:textId="77777777" w:rsidR="000F70A3" w:rsidRPr="000F70A3" w:rsidRDefault="000F70A3" w:rsidP="001F0425">
      <w:pPr>
        <w:pStyle w:val="602TextfoTextstylesTextstyles"/>
      </w:pPr>
      <w:r w:rsidRPr="000F70A3">
        <w:t>Although antibiotics are not routinely recommended to treat viral respiratory tract infections (RTIs)</w:t>
      </w:r>
      <w:r w:rsidRPr="000F70A3">
        <w:rPr>
          <w:noProof/>
          <w:vertAlign w:val="superscript"/>
        </w:rPr>
        <w:t>20</w:t>
      </w:r>
      <w:r w:rsidRPr="000F70A3">
        <w:rPr>
          <w:noProof/>
          <w:color w:val="00B0F0"/>
          <w:vertAlign w:val="superscript"/>
        </w:rPr>
        <w:t>–2</w:t>
      </w:r>
      <w:r w:rsidRPr="000F70A3">
        <w:rPr>
          <w:noProof/>
          <w:vertAlign w:val="superscript"/>
        </w:rPr>
        <w:t>5</w:t>
      </w:r>
      <w:r w:rsidRPr="000F70A3">
        <w:t xml:space="preserve">, the findings of a small trial conducted in children with ILI during an influenza epidemic suggest that early treatment with the antibiotic sultamicillin may reduce the </w:t>
      </w:r>
      <w:r w:rsidRPr="000F70A3">
        <w:rPr>
          <w:highlight w:val="magenta"/>
        </w:rPr>
        <w:t>incidence</w:t>
      </w:r>
      <w:r w:rsidRPr="000F70A3">
        <w:t xml:space="preserve"> of pneumonia </w:t>
      </w:r>
      <w:r w:rsidRPr="000F70A3">
        <w:rPr>
          <w:noProof/>
          <w:vertAlign w:val="superscript"/>
        </w:rPr>
        <w:t>26</w:t>
      </w:r>
      <w:r w:rsidRPr="000F70A3">
        <w:t xml:space="preserve">. Published observational </w:t>
      </w:r>
      <w:r w:rsidRPr="000F70A3">
        <w:rPr>
          <w:highlight w:val="magenta"/>
        </w:rPr>
        <w:t>data</w:t>
      </w:r>
      <w:r w:rsidRPr="000F70A3">
        <w:t xml:space="preserve"> have also previously demonstrated that duration of fever was significantly shorter in children with laboratory-confirmed influenza who had received antibiotics (mostly amoxicillin) at an early stage during their illness. This finding was not observed in children with any other type of viral infection.</w:t>
      </w:r>
      <w:r w:rsidRPr="000F70A3">
        <w:rPr>
          <w:noProof/>
          <w:vertAlign w:val="superscript"/>
        </w:rPr>
        <w:t>27</w:t>
      </w:r>
    </w:p>
    <w:p w14:paraId="74A3B593" w14:textId="77777777" w:rsidR="000F70A3" w:rsidRPr="000F70A3" w:rsidRDefault="000F70A3" w:rsidP="001F0425">
      <w:pPr>
        <w:pStyle w:val="602TextfoTextstylesTextstyles"/>
      </w:pPr>
      <w:r w:rsidRPr="000F70A3">
        <w:t xml:space="preserve">While antibiotics may be beneficial in treating influenza the continuing efficacy of antibiotics is a crucial global health concern. Antimicrobial resistance has been identified by the </w:t>
      </w:r>
      <w:r w:rsidRPr="000F70A3">
        <w:rPr>
          <w:color w:val="00B0F0"/>
        </w:rPr>
        <w:t>World Health Organization</w:t>
      </w:r>
      <w:r w:rsidRPr="000F70A3">
        <w:t xml:space="preserve"> as a threat </w:t>
      </w:r>
      <w:r w:rsidRPr="000F70A3">
        <w:rPr>
          <w:color w:val="00B0F0"/>
          <w:highlight w:val="green"/>
        </w:rPr>
        <w:t>“</w:t>
      </w:r>
      <w:r w:rsidRPr="000F70A3">
        <w:rPr>
          <w:highlight w:val="green"/>
        </w:rPr>
        <w:t>to the very core of modern medicine and the sustainability of an effective, overall public health response to the enduring threat from infectious diseases.</w:t>
      </w:r>
      <w:r w:rsidRPr="000F70A3">
        <w:rPr>
          <w:color w:val="00B0F0"/>
          <w:highlight w:val="green"/>
        </w:rPr>
        <w:t>”</w:t>
      </w:r>
      <w:r w:rsidRPr="000F70A3">
        <w:rPr>
          <w:noProof/>
          <w:vertAlign w:val="superscript"/>
        </w:rPr>
        <w:t>28</w:t>
      </w:r>
    </w:p>
    <w:p w14:paraId="4779B2E0" w14:textId="77777777" w:rsidR="000F70A3" w:rsidRPr="000F70A3" w:rsidRDefault="000F70A3" w:rsidP="00F26FEB">
      <w:pPr>
        <w:pStyle w:val="52AheadHeadingsHeadingstyles"/>
        <w:rPr>
          <w:rFonts w:eastAsia="DengXian Light"/>
        </w:rPr>
      </w:pPr>
      <w:bookmarkStart w:id="12" w:name="_Toc61506830"/>
      <w:bookmarkStart w:id="13" w:name="_Toc106099123"/>
      <w:r w:rsidRPr="000F70A3">
        <w:rPr>
          <w:rFonts w:eastAsia="DengXian Light"/>
        </w:rPr>
        <w:t>Research Programme</w:t>
      </w:r>
      <w:bookmarkEnd w:id="12"/>
      <w:bookmarkEnd w:id="13"/>
    </w:p>
    <w:p w14:paraId="22D01990" w14:textId="77777777" w:rsidR="000F70A3" w:rsidRPr="000F70A3" w:rsidRDefault="000F70A3" w:rsidP="00F26FEB">
      <w:pPr>
        <w:pStyle w:val="602TextfoTextstylesTextstyles"/>
      </w:pPr>
      <w:r w:rsidRPr="000F70A3">
        <w:t xml:space="preserve">An effective, evidence-based, policy on antibiotic use in </w:t>
      </w:r>
      <w:r w:rsidRPr="000F70A3">
        <w:rPr>
          <w:color w:val="00B0F0"/>
        </w:rPr>
        <w:t>‘</w:t>
      </w:r>
      <w:r w:rsidRPr="000F70A3">
        <w:t>at risk</w:t>
      </w:r>
      <w:r w:rsidRPr="000F70A3">
        <w:rPr>
          <w:color w:val="00B0F0"/>
        </w:rPr>
        <w:t>’</w:t>
      </w:r>
      <w:r w:rsidRPr="000F70A3">
        <w:t xml:space="preserve"> children during influenza season is needed to ensure that national antibiotic stockpiles are used in the most clinically appropriate and cost-effective way while adhering to responsible Antimicrobial stewardship.</w:t>
      </w:r>
    </w:p>
    <w:p w14:paraId="24716927" w14:textId="77777777" w:rsidR="000F70A3" w:rsidRPr="000F70A3" w:rsidRDefault="000F70A3" w:rsidP="00F26FEB">
      <w:pPr>
        <w:pStyle w:val="602TextfoTextstylesTextstyles"/>
      </w:pPr>
      <w:r w:rsidRPr="000F70A3">
        <w:t xml:space="preserve">The ARCHIE programme consists of five interrelated work packages, shown in </w:t>
      </w:r>
      <w:r w:rsidRPr="000F70A3">
        <w:rPr>
          <w:i/>
          <w:color w:val="FF0000"/>
        </w:rPr>
        <w:t>Figure 1</w:t>
      </w:r>
      <w:r w:rsidRPr="000F70A3">
        <w:t>, and nine objectives, we present a summary of each work package that inform our conclusions and their implications.</w:t>
      </w:r>
    </w:p>
    <w:p w14:paraId="2DDBCDB8" w14:textId="77777777" w:rsidR="000F70A3" w:rsidRPr="000F70A3" w:rsidRDefault="000F70A3" w:rsidP="00F26FEB">
      <w:pPr>
        <w:pStyle w:val="53BheadHeadingsHeadingstyles"/>
      </w:pPr>
      <w:r w:rsidRPr="000F70A3">
        <w:t>Work Package A – Systematic Review</w:t>
      </w:r>
    </w:p>
    <w:p w14:paraId="646FC96F" w14:textId="77777777" w:rsidR="000F70A3" w:rsidRPr="000F70A3" w:rsidRDefault="000F70A3" w:rsidP="00F26FEB">
      <w:pPr>
        <w:pStyle w:val="602TextfoTextstylesTextstyles"/>
        <w:rPr>
          <w:i/>
        </w:rPr>
      </w:pPr>
      <w:r w:rsidRPr="000F70A3">
        <w:rPr>
          <w:rFonts w:ascii="Calibri" w:eastAsia="Calibri" w:hAnsi="Calibri" w:cs="Arial"/>
          <w:i/>
        </w:rPr>
        <w:t>10)</w:t>
      </w:r>
      <w:r w:rsidRPr="000F70A3">
        <w:rPr>
          <w:rFonts w:ascii="Calibri" w:eastAsia="Calibri" w:hAnsi="Calibri" w:cs="Arial"/>
          <w:i/>
        </w:rPr>
        <w:tab/>
      </w:r>
      <w:r w:rsidRPr="000F70A3">
        <w:t>Objective 1: To identify risk factors and assess the reliability of published prognostic models for influenza-related complications in children</w:t>
      </w:r>
    </w:p>
    <w:p w14:paraId="2F8F8D01" w14:textId="77777777" w:rsidR="000F70A3" w:rsidRPr="000F70A3" w:rsidRDefault="000F70A3" w:rsidP="00F26FEB">
      <w:pPr>
        <w:pStyle w:val="53BheadHeadingsHeadingstyles"/>
      </w:pPr>
      <w:r w:rsidRPr="000F70A3">
        <w:t>Work Package B – Qualitative Work</w:t>
      </w:r>
    </w:p>
    <w:p w14:paraId="3121257F" w14:textId="77777777" w:rsidR="000F70A3" w:rsidRPr="000F70A3" w:rsidRDefault="000F70A3" w:rsidP="00F26FEB">
      <w:pPr>
        <w:pStyle w:val="602TextfoTextstylesTextstyles"/>
      </w:pPr>
      <w:r w:rsidRPr="000F70A3">
        <w:rPr>
          <w:rFonts w:ascii="Calibri" w:eastAsia="Calibri" w:hAnsi="Calibri" w:cs="Arial"/>
        </w:rPr>
        <w:t>11)</w:t>
      </w:r>
      <w:r w:rsidRPr="000F70A3">
        <w:rPr>
          <w:rFonts w:ascii="Calibri" w:eastAsia="Calibri" w:hAnsi="Calibri" w:cs="Arial"/>
        </w:rPr>
        <w:tab/>
      </w:r>
      <w:r w:rsidRPr="000F70A3">
        <w:t>Objective 2: To understand what factors influence GPs</w:t>
      </w:r>
      <w:r w:rsidRPr="000F70A3">
        <w:rPr>
          <w:color w:val="00B0F0"/>
        </w:rPr>
        <w:t>’</w:t>
      </w:r>
      <w:r w:rsidRPr="000F70A3">
        <w:t xml:space="preserve"> decisions about antibiotic prescribing for at risk children with influenza/ILI</w:t>
      </w:r>
    </w:p>
    <w:p w14:paraId="5FA85393" w14:textId="77777777" w:rsidR="000F70A3" w:rsidRPr="000F70A3" w:rsidRDefault="000F70A3" w:rsidP="00F26FEB">
      <w:pPr>
        <w:pStyle w:val="602TextfoTextstylesTextstyles"/>
      </w:pPr>
      <w:r w:rsidRPr="000F70A3">
        <w:rPr>
          <w:rFonts w:ascii="Calibri" w:eastAsia="Calibri" w:hAnsi="Calibri" w:cs="Arial"/>
        </w:rPr>
        <w:t>12)</w:t>
      </w:r>
      <w:r w:rsidRPr="000F70A3">
        <w:rPr>
          <w:rFonts w:ascii="Calibri" w:eastAsia="Calibri" w:hAnsi="Calibri" w:cs="Arial"/>
        </w:rPr>
        <w:tab/>
      </w:r>
      <w:r w:rsidRPr="000F70A3">
        <w:t xml:space="preserve">Objective 3: To explore the experiences of parents of </w:t>
      </w:r>
      <w:r w:rsidRPr="000F70A3">
        <w:rPr>
          <w:color w:val="00B0F0"/>
        </w:rPr>
        <w:t>‘</w:t>
      </w:r>
      <w:r w:rsidRPr="000F70A3">
        <w:t>at risk</w:t>
      </w:r>
      <w:r w:rsidRPr="000F70A3">
        <w:rPr>
          <w:color w:val="00B0F0"/>
        </w:rPr>
        <w:t>’</w:t>
      </w:r>
      <w:r w:rsidRPr="000F70A3">
        <w:t xml:space="preserve"> children who have previously become unwell </w:t>
      </w:r>
      <w:r w:rsidRPr="000F70A3">
        <w:rPr>
          <w:highlight w:val="magenta"/>
        </w:rPr>
        <w:t>due to</w:t>
      </w:r>
      <w:r w:rsidRPr="000F70A3">
        <w:t xml:space="preserve"> influenza/ILI and</w:t>
      </w:r>
    </w:p>
    <w:p w14:paraId="579B1175" w14:textId="77777777" w:rsidR="000F70A3" w:rsidRPr="000F70A3" w:rsidRDefault="000F70A3" w:rsidP="00F26FEB">
      <w:pPr>
        <w:pStyle w:val="602TextfoTextstylesTextstyles"/>
      </w:pPr>
      <w:r w:rsidRPr="000F70A3">
        <w:rPr>
          <w:rFonts w:ascii="Calibri" w:eastAsia="Calibri" w:hAnsi="Calibri" w:cs="Arial"/>
        </w:rPr>
        <w:t>13)</w:t>
      </w:r>
      <w:r w:rsidRPr="000F70A3">
        <w:rPr>
          <w:rFonts w:ascii="Calibri" w:eastAsia="Calibri" w:hAnsi="Calibri" w:cs="Arial"/>
        </w:rPr>
        <w:tab/>
      </w:r>
      <w:r w:rsidRPr="000F70A3">
        <w:t xml:space="preserve">Objective 4: To explore parental consulting attitudes in relation to influenza/ILI </w:t>
      </w:r>
      <w:r w:rsidRPr="000F70A3">
        <w:rPr>
          <w:sz w:val="24"/>
          <w:szCs w:val="24"/>
        </w:rPr>
        <w:t xml:space="preserve">and </w:t>
      </w:r>
      <w:r w:rsidRPr="000F70A3">
        <w:rPr>
          <w:bCs/>
          <w:sz w:val="24"/>
          <w:szCs w:val="24"/>
        </w:rPr>
        <w:t xml:space="preserve">involve parents of </w:t>
      </w:r>
      <w:r w:rsidRPr="000F70A3">
        <w:rPr>
          <w:bCs/>
          <w:color w:val="00B0F0"/>
          <w:sz w:val="24"/>
          <w:szCs w:val="24"/>
        </w:rPr>
        <w:t>‘</w:t>
      </w:r>
      <w:r w:rsidRPr="000F70A3">
        <w:rPr>
          <w:bCs/>
          <w:sz w:val="24"/>
          <w:szCs w:val="24"/>
        </w:rPr>
        <w:t>at risk</w:t>
      </w:r>
      <w:r w:rsidRPr="000F70A3">
        <w:rPr>
          <w:bCs/>
          <w:color w:val="00B0F0"/>
          <w:sz w:val="24"/>
          <w:szCs w:val="24"/>
        </w:rPr>
        <w:t>’</w:t>
      </w:r>
      <w:r w:rsidRPr="000F70A3">
        <w:rPr>
          <w:bCs/>
          <w:sz w:val="24"/>
          <w:szCs w:val="24"/>
        </w:rPr>
        <w:t xml:space="preserve"> </w:t>
      </w:r>
      <w:r w:rsidRPr="000F70A3">
        <w:rPr>
          <w:sz w:val="24"/>
          <w:szCs w:val="24"/>
        </w:rPr>
        <w:t>children in the development of trial materials</w:t>
      </w:r>
    </w:p>
    <w:p w14:paraId="72F99449" w14:textId="77777777" w:rsidR="000F70A3" w:rsidRPr="000F70A3" w:rsidRDefault="000F70A3" w:rsidP="00F26FEB">
      <w:pPr>
        <w:pStyle w:val="53BheadHeadingsHeadingstyles"/>
      </w:pPr>
      <w:r w:rsidRPr="000F70A3">
        <w:t>Work Package C – Randomised Controlled Trial</w:t>
      </w:r>
    </w:p>
    <w:p w14:paraId="6BBAAC1A" w14:textId="5B19275C" w:rsidR="000F70A3" w:rsidRPr="000F70A3" w:rsidRDefault="000F70A3" w:rsidP="00F26FEB">
      <w:pPr>
        <w:pStyle w:val="611BulletlistTextstyles"/>
      </w:pPr>
      <w:r w:rsidRPr="000F70A3">
        <w:t>Objective 5: To determine the effectiveness of early co-amoxiclav use in at risk children with influenza/ILI</w:t>
      </w:r>
    </w:p>
    <w:p w14:paraId="73695DC0" w14:textId="77777777" w:rsidR="000F70A3" w:rsidRPr="000F70A3" w:rsidRDefault="000F70A3" w:rsidP="00F26FEB">
      <w:pPr>
        <w:pStyle w:val="53BheadHeadingsHeadingstyles"/>
      </w:pPr>
      <w:r w:rsidRPr="000F70A3">
        <w:t>Work Package D – Microbiology</w:t>
      </w:r>
    </w:p>
    <w:p w14:paraId="2C3E75C7" w14:textId="31D31555" w:rsidR="000F70A3" w:rsidRPr="000F70A3" w:rsidRDefault="000F70A3" w:rsidP="00F26FEB">
      <w:pPr>
        <w:pStyle w:val="611BulletlistTextstyles"/>
      </w:pPr>
      <w:r w:rsidRPr="000F70A3">
        <w:t>Objective 6 To examine the impact on antibiotic resistance of early co-amoxiclav use in at risk children with influenza/ILI</w:t>
      </w:r>
    </w:p>
    <w:p w14:paraId="733923D7" w14:textId="68AB7259" w:rsidR="000F70A3" w:rsidRPr="000F70A3" w:rsidRDefault="000F70A3" w:rsidP="00F26FEB">
      <w:pPr>
        <w:pStyle w:val="614TextbulletlistlastTextstylesTextstyles"/>
      </w:pPr>
      <w:r w:rsidRPr="000F70A3">
        <w:t>Objective 7 To determine the impact on long-term respiratory bacterial carriage of early co-amoxiclav use in at risk children with influenza/ILI</w:t>
      </w:r>
    </w:p>
    <w:p w14:paraId="7220D30F" w14:textId="77777777" w:rsidR="000F70A3" w:rsidRPr="000F70A3" w:rsidRDefault="000F70A3" w:rsidP="00F26FEB">
      <w:pPr>
        <w:pStyle w:val="53BheadHeadingsHeadingstyles"/>
      </w:pPr>
      <w:r w:rsidRPr="000F70A3">
        <w:t>Work Package E</w:t>
      </w:r>
      <w:r w:rsidRPr="000F70A3">
        <w:rPr>
          <w:color w:val="00B0F0"/>
        </w:rPr>
        <w:t xml:space="preserve"> – </w:t>
      </w:r>
      <w:r w:rsidRPr="000F70A3">
        <w:t>Risk Reduction Scores &amp; Health Economics</w:t>
      </w:r>
    </w:p>
    <w:p w14:paraId="704DCC46" w14:textId="6E5ED678" w:rsidR="000F70A3" w:rsidRPr="000F70A3" w:rsidRDefault="000F70A3" w:rsidP="00F26FEB">
      <w:pPr>
        <w:pStyle w:val="611BulletlistTextstyles"/>
      </w:pPr>
      <w:r w:rsidRPr="000F70A3">
        <w:t>Objective 8: To develop and validate risk scores for influenza-related clinical deterioration and complications for use in children with influenza/ILI (work package e.i)</w:t>
      </w:r>
    </w:p>
    <w:p w14:paraId="73A293EF" w14:textId="236C89E2" w:rsidR="000F70A3" w:rsidRPr="000F70A3" w:rsidRDefault="000F70A3" w:rsidP="00F26FEB">
      <w:pPr>
        <w:pStyle w:val="614TextbulletlistlastTextstylesTextstyles"/>
      </w:pPr>
      <w:r w:rsidRPr="000F70A3">
        <w:t>Objective 9: To explore the cost-effectiveness of different potential strategies for early antibiotic use in at risk children with influenza/ILI (work package e.ii)</w:t>
      </w:r>
    </w:p>
    <w:p w14:paraId="3F12376D" w14:textId="02891E74" w:rsidR="000F70A3" w:rsidRPr="000F70A3" w:rsidRDefault="004727BD" w:rsidP="000F70A3">
      <w:pPr>
        <w:pStyle w:val="81FigurelegendTableFigureBoxstyles"/>
      </w:pPr>
      <w:r w:rsidRPr="004727BD">
        <w:rPr>
          <w:b/>
        </w:rPr>
        <w:t>FIGURE 1</w:t>
      </w:r>
      <w:r w:rsidR="00F26FEB" w:rsidRPr="004727BD">
        <w:rPr>
          <w:b/>
        </w:rPr>
        <w:t> </w:t>
      </w:r>
      <w:r w:rsidR="000F70A3" w:rsidRPr="000F70A3">
        <w:t>Interrelationship of Work Packages</w:t>
      </w:r>
    </w:p>
    <w:p w14:paraId="38E53753" w14:textId="77777777" w:rsidR="000F70A3" w:rsidRPr="000F70A3" w:rsidRDefault="000F70A3" w:rsidP="007D79ED">
      <w:pPr>
        <w:pStyle w:val="602TextfoTextstylesTextstyles"/>
      </w:pPr>
      <w:r w:rsidRPr="000F70A3">
        <w:t>At the end of each work package summary is further detail on how it links to the others and how each work package contributed to the main implications of our work.</w:t>
      </w:r>
    </w:p>
    <w:p w14:paraId="4C88461D" w14:textId="77777777" w:rsidR="000F70A3" w:rsidRPr="000F70A3" w:rsidRDefault="000F70A3" w:rsidP="007D79ED">
      <w:pPr>
        <w:pStyle w:val="602TextfoTextstylesTextstyles"/>
      </w:pPr>
      <w:r w:rsidRPr="000F70A3">
        <w:t>In Appendix 1 (p71) are the management arrangements for the programme.</w:t>
      </w:r>
    </w:p>
    <w:p w14:paraId="22F6B402" w14:textId="77777777" w:rsidR="000F70A3" w:rsidRPr="000F70A3" w:rsidRDefault="000F70A3" w:rsidP="00E23840">
      <w:pPr>
        <w:pStyle w:val="52AheadHeadingsHeadingstyles"/>
        <w:rPr>
          <w:rFonts w:eastAsia="DengXian Light"/>
        </w:rPr>
      </w:pPr>
      <w:bookmarkStart w:id="14" w:name="_Toc61506831"/>
      <w:bookmarkStart w:id="15" w:name="_Toc106099124"/>
      <w:r w:rsidRPr="000F70A3">
        <w:rPr>
          <w:rFonts w:eastAsia="DengXian Light"/>
        </w:rPr>
        <w:t>Addressing objective 1: To identify risk factors and assess the reliability of published prognostic models for influenza-related complications in children:</w:t>
      </w:r>
      <w:bookmarkEnd w:id="14"/>
      <w:bookmarkEnd w:id="15"/>
    </w:p>
    <w:p w14:paraId="6D6472A9" w14:textId="77777777" w:rsidR="000F70A3" w:rsidRPr="000F70A3" w:rsidRDefault="000F70A3" w:rsidP="00E23840">
      <w:pPr>
        <w:pStyle w:val="602TextfoTextstylesTextstyles"/>
      </w:pPr>
      <w:r w:rsidRPr="000F70A3">
        <w:t>We commenced by conducting a systematic review to better understand and identify the risk factors associated with clinical deterioration in children with influenza/ILI. An understanding of risk factors in children is important, in view of the different comorbidity profiles encountered in paediatric versus adult populations and the high burden of disease associated with influenza in children.</w:t>
      </w:r>
      <w:r w:rsidRPr="000F70A3">
        <w:rPr>
          <w:noProof/>
          <w:vertAlign w:val="superscript"/>
        </w:rPr>
        <w:t>29</w:t>
      </w:r>
    </w:p>
    <w:p w14:paraId="418FB79A" w14:textId="77777777" w:rsidR="000F70A3" w:rsidRPr="000F70A3" w:rsidRDefault="000F70A3" w:rsidP="00E23840">
      <w:pPr>
        <w:pStyle w:val="602TextfoTextstylesTextstyles"/>
      </w:pPr>
      <w:r w:rsidRPr="000F70A3">
        <w:t xml:space="preserve">We aimed to provide an evidence-based definition of which children presenting with influenza or ILI in primary or ambulatory care are at increased risk of developing influenza-related complications through a systematic review of published and unpublished </w:t>
      </w:r>
      <w:r w:rsidRPr="000F70A3">
        <w:rPr>
          <w:highlight w:val="magenta"/>
        </w:rPr>
        <w:t>data</w:t>
      </w:r>
      <w:r w:rsidRPr="000F70A3">
        <w:t>.</w:t>
      </w:r>
    </w:p>
    <w:p w14:paraId="418372AD" w14:textId="77777777" w:rsidR="000F70A3" w:rsidRPr="000F70A3" w:rsidRDefault="000F70A3" w:rsidP="00E23840">
      <w:pPr>
        <w:pStyle w:val="602TextfoTextstylesTextstyles"/>
      </w:pPr>
      <w:r w:rsidRPr="000F70A3">
        <w:t>This work has been published as a separate paper, Gill, Ashdown, Wang,</w:t>
      </w:r>
      <w:r w:rsidRPr="000F70A3">
        <w:rPr>
          <w:i/>
          <w:color w:val="00B0F0"/>
        </w:rPr>
        <w:t xml:space="preserve"> et al</w:t>
      </w:r>
      <w:r w:rsidRPr="000F70A3">
        <w:t>. Identification of children at risk of influenza-related complications in primary and ambulatory care: a systematic review and meta-analysis.</w:t>
      </w:r>
      <w:r w:rsidRPr="000F70A3">
        <w:rPr>
          <w:i/>
        </w:rPr>
        <w:t xml:space="preserve"> </w:t>
      </w:r>
      <w:r w:rsidRPr="000F70A3">
        <w:t xml:space="preserve">The author accepted manuscript is available by open access via the </w:t>
      </w:r>
      <w:r w:rsidRPr="000F70A3">
        <w:rPr>
          <w:i/>
        </w:rPr>
        <w:t>Oxford University Research Archive</w:t>
      </w:r>
      <w:r w:rsidRPr="000F70A3">
        <w:t xml:space="preserve">: https://ora.ox.ac.uk/objects/uuid:7044d233-4a9a-43dd-9f37-15151dec62ca DOI: </w:t>
      </w:r>
      <w:r w:rsidRPr="000F70A3">
        <w:rPr>
          <w:color w:val="0563C1"/>
          <w:u w:val="single"/>
        </w:rPr>
        <w:t>https://doi.org/</w:t>
      </w:r>
      <w:r w:rsidRPr="000F70A3">
        <w:t>10.1016/S2213-2600(14)70252-8</w:t>
      </w:r>
    </w:p>
    <w:p w14:paraId="6AD3279E" w14:textId="77777777" w:rsidR="000F70A3" w:rsidRPr="000F70A3" w:rsidRDefault="000F70A3" w:rsidP="00E23840">
      <w:pPr>
        <w:pStyle w:val="53BheadHeadingsHeadingstyles"/>
      </w:pPr>
      <w:r w:rsidRPr="000F70A3">
        <w:t>Aim</w:t>
      </w:r>
    </w:p>
    <w:p w14:paraId="41A3D142" w14:textId="77777777" w:rsidR="000F70A3" w:rsidRPr="000F70A3" w:rsidRDefault="000F70A3" w:rsidP="00E23840">
      <w:pPr>
        <w:pStyle w:val="602TextfoTextstylesTextstyles"/>
      </w:pPr>
      <w:r w:rsidRPr="000F70A3">
        <w:t xml:space="preserve">To provide an evidence-based definition of which children are at greater risk of influenza/ILI-related clinical deterioration via a systematic review of published and unpublished </w:t>
      </w:r>
      <w:r w:rsidRPr="000F70A3">
        <w:rPr>
          <w:highlight w:val="magenta"/>
        </w:rPr>
        <w:t>data</w:t>
      </w:r>
      <w:r w:rsidRPr="000F70A3">
        <w:t>.</w:t>
      </w:r>
    </w:p>
    <w:p w14:paraId="449FAA5E" w14:textId="77777777" w:rsidR="000F70A3" w:rsidRPr="000F70A3" w:rsidRDefault="000F70A3" w:rsidP="00E23840">
      <w:pPr>
        <w:pStyle w:val="53BheadHeadingsHeadingstyles"/>
      </w:pPr>
      <w:r w:rsidRPr="000F70A3">
        <w:t>Methods</w:t>
      </w:r>
    </w:p>
    <w:p w14:paraId="3C57A660" w14:textId="77777777" w:rsidR="000F70A3" w:rsidRPr="000F70A3" w:rsidRDefault="000F70A3" w:rsidP="00E23840">
      <w:pPr>
        <w:pStyle w:val="602TextfoTextstylesTextstyles"/>
      </w:pPr>
      <w:r w:rsidRPr="000F70A3">
        <w:t xml:space="preserve">We searched the </w:t>
      </w:r>
      <w:r w:rsidRPr="000F70A3">
        <w:rPr>
          <w:color w:val="00B0F0"/>
        </w:rPr>
        <w:t>MEDLINE</w:t>
      </w:r>
      <w:r w:rsidRPr="000F70A3">
        <w:t xml:space="preserve"> and </w:t>
      </w:r>
      <w:r w:rsidRPr="000F70A3">
        <w:rPr>
          <w:color w:val="00B0F0"/>
        </w:rPr>
        <w:t>MEDLINE</w:t>
      </w:r>
      <w:r w:rsidRPr="000F70A3">
        <w:t xml:space="preserve"> In Process, </w:t>
      </w:r>
      <w:r w:rsidRPr="000F70A3">
        <w:rPr>
          <w:color w:val="00B0F0"/>
        </w:rPr>
        <w:t>EMBASE</w:t>
      </w:r>
      <w:r w:rsidRPr="000F70A3">
        <w:t xml:space="preserve">, Science Citation Index, and CINAHL databases for studies published between inception and </w:t>
      </w:r>
      <w:r w:rsidRPr="000F70A3">
        <w:rPr>
          <w:color w:val="00B0F0"/>
        </w:rPr>
        <w:t>3 April 2013.</w:t>
      </w:r>
      <w:r w:rsidRPr="000F70A3">
        <w:t xml:space="preserve"> Included studies reported </w:t>
      </w:r>
      <w:r w:rsidRPr="000F70A3">
        <w:rPr>
          <w:highlight w:val="magenta"/>
        </w:rPr>
        <w:t>data</w:t>
      </w:r>
      <w:r w:rsidRPr="000F70A3">
        <w:t xml:space="preserve"> for underlying disorders and complications in children presenting in primary or ambulatory care with influenza or ILI. Our search used a validated child filter </w:t>
      </w:r>
      <w:r w:rsidRPr="000F70A3">
        <w:rPr>
          <w:noProof/>
          <w:vertAlign w:val="superscript"/>
        </w:rPr>
        <w:t>30</w:t>
      </w:r>
      <w:r w:rsidRPr="000F70A3">
        <w:t xml:space="preserve"> and did not include any language restrictions. We also reviewed reference lists of included articles, relevant reviews and guidelines.</w:t>
      </w:r>
    </w:p>
    <w:p w14:paraId="09967CA2" w14:textId="77777777" w:rsidR="000F70A3" w:rsidRPr="000F70A3" w:rsidRDefault="000F70A3" w:rsidP="00E23840">
      <w:pPr>
        <w:pStyle w:val="602TextfoTextstylesTextstyles"/>
      </w:pPr>
      <w:r w:rsidRPr="000F70A3">
        <w:t xml:space="preserve">We requested unpublished </w:t>
      </w:r>
      <w:r w:rsidRPr="000F70A3">
        <w:rPr>
          <w:highlight w:val="magenta"/>
        </w:rPr>
        <w:t>data</w:t>
      </w:r>
      <w:r w:rsidRPr="000F70A3">
        <w:t xml:space="preserve"> from authors whose studies had obtained but not yet published, </w:t>
      </w:r>
      <w:r w:rsidRPr="000F70A3">
        <w:rPr>
          <w:highlight w:val="magenta"/>
        </w:rPr>
        <w:t>data</w:t>
      </w:r>
      <w:r w:rsidRPr="000F70A3">
        <w:t xml:space="preserve"> which we sought to include in our analysis</w:t>
      </w:r>
    </w:p>
    <w:p w14:paraId="6D37F877" w14:textId="77777777" w:rsidR="000F70A3" w:rsidRPr="000F70A3" w:rsidRDefault="000F70A3" w:rsidP="00E23840">
      <w:pPr>
        <w:pStyle w:val="602TextfoTextstylesTextstyles"/>
      </w:pPr>
      <w:r w:rsidRPr="000F70A3">
        <w:t xml:space="preserve">We included studies that recruited children up to 18 years of age who had influenza confirmed on laboratory or near-patient testing or influenza-like illness diagnosed on clinical grounds. We primarily looked for cohort studies to include in our review, but to be as inclusive as possible; we also included </w:t>
      </w:r>
      <w:r w:rsidRPr="000F70A3">
        <w:rPr>
          <w:color w:val="00B0F0"/>
        </w:rPr>
        <w:t>case–control</w:t>
      </w:r>
      <w:r w:rsidRPr="000F70A3">
        <w:t xml:space="preserve"> studies if published or unpublished </w:t>
      </w:r>
      <w:r w:rsidRPr="000F70A3">
        <w:rPr>
          <w:highlight w:val="magenta"/>
        </w:rPr>
        <w:t>data</w:t>
      </w:r>
      <w:r w:rsidRPr="000F70A3">
        <w:t xml:space="preserve"> relating to these studies were sufficient for us to construct 2x2 tables.</w:t>
      </w:r>
    </w:p>
    <w:p w14:paraId="1743CE1E" w14:textId="77777777" w:rsidR="000F70A3" w:rsidRPr="000F70A3" w:rsidRDefault="000F70A3" w:rsidP="00E23840">
      <w:pPr>
        <w:pStyle w:val="602TextfoTextstylesTextstyles"/>
      </w:pPr>
      <w:r w:rsidRPr="000F70A3">
        <w:t xml:space="preserve">We excluded cross-sectional surveillance studies that did not report clinical outcomes. We also excluded case series of hospitalised children, since the main purpose of our study was to provide a definition of </w:t>
      </w:r>
      <w:r w:rsidRPr="000F70A3">
        <w:rPr>
          <w:color w:val="00B0F0"/>
        </w:rPr>
        <w:t>‘</w:t>
      </w:r>
      <w:r w:rsidRPr="000F70A3">
        <w:t>at risk</w:t>
      </w:r>
      <w:r w:rsidRPr="000F70A3">
        <w:rPr>
          <w:color w:val="00B0F0"/>
        </w:rPr>
        <w:t>’</w:t>
      </w:r>
      <w:r w:rsidRPr="000F70A3">
        <w:t xml:space="preserve"> that would be applicable to primary care.</w:t>
      </w:r>
    </w:p>
    <w:p w14:paraId="1F470322" w14:textId="77777777" w:rsidR="000F70A3" w:rsidRPr="000F70A3" w:rsidRDefault="000F70A3" w:rsidP="00E23840">
      <w:pPr>
        <w:pStyle w:val="602TextfoTextstylesTextstyles"/>
      </w:pPr>
      <w:r w:rsidRPr="000F70A3">
        <w:t xml:space="preserve">Standard forms were developed to assess risk of bias (based on previously published assessment tools </w:t>
      </w:r>
      <w:r w:rsidRPr="000F70A3">
        <w:rPr>
          <w:noProof/>
          <w:vertAlign w:val="superscript"/>
        </w:rPr>
        <w:t>31</w:t>
      </w:r>
      <w:r w:rsidRPr="000F70A3">
        <w:rPr>
          <w:noProof/>
          <w:color w:val="00B0F0"/>
          <w:vertAlign w:val="superscript"/>
        </w:rPr>
        <w:t>–3</w:t>
      </w:r>
      <w:r w:rsidRPr="000F70A3">
        <w:rPr>
          <w:noProof/>
          <w:vertAlign w:val="superscript"/>
        </w:rPr>
        <w:t>3</w:t>
      </w:r>
      <w:r w:rsidRPr="000F70A3">
        <w:t xml:space="preserve"> and to extract </w:t>
      </w:r>
      <w:r w:rsidRPr="000F70A3">
        <w:rPr>
          <w:highlight w:val="magenta"/>
        </w:rPr>
        <w:t>data</w:t>
      </w:r>
      <w:r w:rsidRPr="000F70A3">
        <w:t xml:space="preserve">. We included 28 articles that reported </w:t>
      </w:r>
      <w:r w:rsidRPr="000F70A3">
        <w:rPr>
          <w:highlight w:val="magenta"/>
        </w:rPr>
        <w:t>data</w:t>
      </w:r>
      <w:r w:rsidRPr="000F70A3">
        <w:t xml:space="preserve"> from 27 studies (14,086 children). The primary outcome was admission to hospital as a proxy for complications of influenza or influenza-like illness</w:t>
      </w:r>
    </w:p>
    <w:p w14:paraId="024FE59B" w14:textId="77777777" w:rsidR="000F70A3" w:rsidRPr="000F70A3" w:rsidRDefault="000F70A3" w:rsidP="00E23840">
      <w:pPr>
        <w:pStyle w:val="53BheadHeadingsHeadingstyles"/>
      </w:pPr>
      <w:r w:rsidRPr="000F70A3">
        <w:t>Analysis</w:t>
      </w:r>
    </w:p>
    <w:p w14:paraId="4E280BE7" w14:textId="77777777" w:rsidR="000F70A3" w:rsidRPr="000F70A3" w:rsidRDefault="000F70A3" w:rsidP="00E23840">
      <w:pPr>
        <w:pStyle w:val="602TextfoTextstylesTextstyles"/>
      </w:pPr>
      <w:r w:rsidRPr="000F70A3">
        <w:t xml:space="preserve">Our main analysis was a meta-analysis of univariable results from all included studies to examine the association between different conditions and hospitalisation. However, </w:t>
      </w:r>
      <w:r w:rsidRPr="000F70A3">
        <w:rPr>
          <w:highlight w:val="magenta"/>
        </w:rPr>
        <w:t>due to</w:t>
      </w:r>
      <w:r w:rsidRPr="000F70A3">
        <w:t xml:space="preserve"> the potential for confounding in this type of analysis, we also performed a multivariable analysis using individual patient </w:t>
      </w:r>
      <w:r w:rsidRPr="000F70A3">
        <w:rPr>
          <w:highlight w:val="magenta"/>
        </w:rPr>
        <w:t>data</w:t>
      </w:r>
      <w:r w:rsidRPr="000F70A3">
        <w:t xml:space="preserve"> from studies whose authors provided these. This individual patient </w:t>
      </w:r>
      <w:r w:rsidRPr="000F70A3">
        <w:rPr>
          <w:highlight w:val="magenta"/>
        </w:rPr>
        <w:t>data</w:t>
      </w:r>
      <w:r w:rsidRPr="000F70A3">
        <w:t xml:space="preserve"> analysis enabled us to account for multiple medical conditions and age.</w:t>
      </w:r>
    </w:p>
    <w:p w14:paraId="715D7748" w14:textId="77777777" w:rsidR="000F70A3" w:rsidRPr="000F70A3" w:rsidRDefault="000F70A3" w:rsidP="00E23840">
      <w:pPr>
        <w:pStyle w:val="602TextfoTextstylesTextstyles"/>
      </w:pPr>
      <w:r w:rsidRPr="000F70A3">
        <w:t xml:space="preserve">Our analysis used a one-step approach whereby the summary odds ratio for each condition is generated directly from the </w:t>
      </w:r>
      <w:r w:rsidRPr="000F70A3">
        <w:rPr>
          <w:highlight w:val="magenta"/>
        </w:rPr>
        <w:t>data</w:t>
      </w:r>
      <w:r w:rsidRPr="000F70A3">
        <w:t xml:space="preserve"> provided by each study rather than from study-specific summary odds ratios. This approach is considered preferable when there is a high risk of comparisons being distorted by low event rates and high numbers of zero cells. This was the case in our review, since we were focusing specifically on primary and ambulatory care populations where hospitalisation is a rare event and certain conditions are uncommon. Underlying conditions were well defined in most studies, as were the methods used for diagnosing influenza. Study quality was variable in terms of patient selection and definition of clinical outcomes. More than half of studies failed to provide a clear definition of hospitalisation. Nine studies involved prospectively recruited cohorts and there were two case control studies. The remaining studies were retrospective database reviews.</w:t>
      </w:r>
    </w:p>
    <w:p w14:paraId="29B5F83F" w14:textId="77777777" w:rsidR="000F70A3" w:rsidRPr="000F70A3" w:rsidRDefault="000F70A3" w:rsidP="00E23840">
      <w:pPr>
        <w:pStyle w:val="602TextfoTextstylesTextstyles"/>
      </w:pPr>
      <w:r w:rsidRPr="000F70A3">
        <w:t>We calculated odds ratios (ORs) with 95% CIs for individual risk factors in relation to hospital admission as a proxy for influenza-related complications.</w:t>
      </w:r>
    </w:p>
    <w:p w14:paraId="450162BA" w14:textId="77777777" w:rsidR="000F70A3" w:rsidRPr="000F70A3" w:rsidRDefault="000F70A3" w:rsidP="00E23840">
      <w:pPr>
        <w:pStyle w:val="53BheadHeadingsHeadingstyles"/>
      </w:pPr>
      <w:r w:rsidRPr="000F70A3">
        <w:t>Strengths &amp; Limitations</w:t>
      </w:r>
    </w:p>
    <w:p w14:paraId="61354B3E" w14:textId="77777777" w:rsidR="000F70A3" w:rsidRPr="000F70A3" w:rsidRDefault="000F70A3" w:rsidP="00E23840">
      <w:pPr>
        <w:pStyle w:val="602TextfoTextstylesTextstyles"/>
      </w:pPr>
      <w:r w:rsidRPr="000F70A3">
        <w:t xml:space="preserve">A specific focus on children, an extensive search, use of univariable and individual patient </w:t>
      </w:r>
      <w:r w:rsidRPr="000F70A3">
        <w:rPr>
          <w:highlight w:val="magenta"/>
        </w:rPr>
        <w:t>data</w:t>
      </w:r>
      <w:r w:rsidRPr="000F70A3">
        <w:t xml:space="preserve"> multivariable analyses including unpublished </w:t>
      </w:r>
      <w:r w:rsidRPr="000F70A3">
        <w:rPr>
          <w:highlight w:val="magenta"/>
        </w:rPr>
        <w:t>data</w:t>
      </w:r>
      <w:r w:rsidRPr="000F70A3">
        <w:t xml:space="preserve"> are all strengths of our systematic review. Limitations are most studies took place in hospitals or ambulatory care, possibly affecting the generalisability of our findings. Risk factor definitions were also often unclear particularly in relation to premature birth.</w:t>
      </w:r>
    </w:p>
    <w:p w14:paraId="549462E9" w14:textId="77777777" w:rsidR="000F70A3" w:rsidRPr="000F70A3" w:rsidRDefault="000F70A3" w:rsidP="00E23840">
      <w:pPr>
        <w:pStyle w:val="53BheadHeadingsHeadingstyles"/>
      </w:pPr>
      <w:r w:rsidRPr="000F70A3">
        <w:t>Key Findings</w:t>
      </w:r>
    </w:p>
    <w:p w14:paraId="5BA3793B" w14:textId="411B8569" w:rsidR="000F70A3" w:rsidRPr="000F70A3" w:rsidRDefault="000F70A3" w:rsidP="00E23840">
      <w:pPr>
        <w:pStyle w:val="611BulletlistTextstyles"/>
      </w:pPr>
      <w:r w:rsidRPr="000F70A3">
        <w:t xml:space="preserve">Premature birth, neurological disorders, sickle cell disease, immunosuppression, diabetes, and age younger than 2 years were all risk factors for hospital admission in children who presented with influenza or influenza-like illness in primary or ambulatory care. In our individual patient </w:t>
      </w:r>
      <w:r w:rsidRPr="000F70A3">
        <w:rPr>
          <w:highlight w:val="magenta"/>
        </w:rPr>
        <w:t>data</w:t>
      </w:r>
      <w:r w:rsidRPr="000F70A3">
        <w:t xml:space="preserve"> analysis, only 11 of the 48 children identified as having been </w:t>
      </w:r>
      <w:r w:rsidRPr="000F70A3">
        <w:rPr>
          <w:highlight w:val="magenta"/>
        </w:rPr>
        <w:t>born</w:t>
      </w:r>
      <w:r w:rsidRPr="000F70A3">
        <w:t xml:space="preserve"> prematurely were aged two years or older. We were therefore unable to assess whether premature birth was still a risk factor for children older than two years of age.</w:t>
      </w:r>
    </w:p>
    <w:p w14:paraId="296EBE8D" w14:textId="733EBBB0" w:rsidR="000F70A3" w:rsidRPr="000F70A3" w:rsidRDefault="000F70A3" w:rsidP="00E23840">
      <w:pPr>
        <w:pStyle w:val="611BulletlistTextstyles"/>
      </w:pPr>
      <w:r w:rsidRPr="000F70A3">
        <w:t>Unlike the other factors identified in this systematic review, premature birth is not defined as a risk factor in any existing guidelines. We included premature birth in children under two years of age as a risk factor in our clinical trial based on the evidence of this systematic review.</w:t>
      </w:r>
    </w:p>
    <w:p w14:paraId="1890F334" w14:textId="435B21B9" w:rsidR="000F70A3" w:rsidRPr="000F70A3" w:rsidRDefault="000F70A3" w:rsidP="00E23840">
      <w:pPr>
        <w:pStyle w:val="611BulletlistTextstyles"/>
      </w:pPr>
      <w:r w:rsidRPr="000F70A3">
        <w:t>Respiratory disorders (including reactive airways disease such as asthma), obesity, and older age groups (i.e., age two–five years and age &gt;fiv</w:t>
      </w:r>
      <w:r w:rsidRPr="000F70A3">
        <w:rPr>
          <w:color w:val="00B0F0"/>
        </w:rPr>
        <w:t>e-1</w:t>
      </w:r>
      <w:r w:rsidRPr="000F70A3">
        <w:t>8 years) were not identified as risk factors.</w:t>
      </w:r>
    </w:p>
    <w:p w14:paraId="0BCECC6A" w14:textId="7DDD29DB" w:rsidR="000F70A3" w:rsidRPr="000F70A3" w:rsidRDefault="000F70A3" w:rsidP="00E23840">
      <w:pPr>
        <w:pStyle w:val="614TextbulletlistlastTextstylesTextstyles"/>
      </w:pPr>
      <w:r w:rsidRPr="000F70A3">
        <w:t>The presence of more than one coexisting condition significantly increases the risk of hospital admission, from 52% (one condition only) to 74% (more than one condition) when aged younger than two years is included as a risk condition.</w:t>
      </w:r>
    </w:p>
    <w:p w14:paraId="1784ACAB" w14:textId="77777777" w:rsidR="000F70A3" w:rsidRPr="000F70A3" w:rsidRDefault="000F70A3" w:rsidP="00E23840">
      <w:pPr>
        <w:pStyle w:val="53BheadHeadingsHeadingstyles"/>
      </w:pPr>
      <w:r w:rsidRPr="000F70A3">
        <w:t>Interrelationship with other parts of the Programme</w:t>
      </w:r>
    </w:p>
    <w:p w14:paraId="57E0CB66" w14:textId="77777777" w:rsidR="000F70A3" w:rsidRPr="000F70A3" w:rsidRDefault="000F70A3" w:rsidP="00E23840">
      <w:pPr>
        <w:pStyle w:val="602TextfoTextstylesTextstyles"/>
      </w:pPr>
      <w:r w:rsidRPr="000F70A3">
        <w:t>An understanding of risk factors in children is important, in view of the different comorbidity profiles encountered in paediatric versus adult populations and the high burden of disease associated with influenza in children.</w:t>
      </w:r>
      <w:r w:rsidRPr="000F70A3">
        <w:rPr>
          <w:noProof/>
          <w:vertAlign w:val="superscript"/>
        </w:rPr>
        <w:t>29</w:t>
      </w:r>
      <w:r w:rsidRPr="000F70A3">
        <w:t xml:space="preserve"> We included premature birth in children under two years of age as a risk factor in our clinical trial based on the evidence of this systematic review. The systematic review also contributed to the pre-trial cost prediction model that was conducted as part of work package e.</w:t>
      </w:r>
    </w:p>
    <w:p w14:paraId="65E7F97E" w14:textId="77777777" w:rsidR="000F70A3" w:rsidRPr="000F70A3" w:rsidRDefault="000F70A3" w:rsidP="00E23840">
      <w:pPr>
        <w:pStyle w:val="52AheadHeadingsHeadingstyles"/>
        <w:rPr>
          <w:rFonts w:eastAsia="DengXian Light"/>
        </w:rPr>
      </w:pPr>
      <w:bookmarkStart w:id="16" w:name="_Toc61506832"/>
      <w:bookmarkStart w:id="17" w:name="_Toc106099125"/>
      <w:r w:rsidRPr="000F70A3">
        <w:rPr>
          <w:rFonts w:eastAsia="DengXian Light"/>
        </w:rPr>
        <w:t>Addressing Objective 2: To understand what factors influence GPs</w:t>
      </w:r>
      <w:r w:rsidRPr="000F70A3">
        <w:rPr>
          <w:rFonts w:eastAsia="DengXian Light"/>
          <w:color w:val="00B0F0"/>
        </w:rPr>
        <w:t>’</w:t>
      </w:r>
      <w:r w:rsidRPr="000F70A3">
        <w:rPr>
          <w:rFonts w:eastAsia="DengXian Light"/>
        </w:rPr>
        <w:t xml:space="preserve"> decisions about antibiotic prescribing for at risk children with influenza/ILI</w:t>
      </w:r>
      <w:bookmarkEnd w:id="16"/>
      <w:bookmarkEnd w:id="17"/>
    </w:p>
    <w:p w14:paraId="0F5B5721" w14:textId="77777777" w:rsidR="000F70A3" w:rsidRPr="000F70A3" w:rsidRDefault="000F70A3" w:rsidP="00E23840">
      <w:pPr>
        <w:pStyle w:val="602TextfoTextstylesTextstyles"/>
      </w:pPr>
      <w:r w:rsidRPr="000F70A3">
        <w:t xml:space="preserve">Microbiological and/or point of care testing for influenza is uncommon in UK </w:t>
      </w:r>
      <w:r w:rsidRPr="000F70A3">
        <w:rPr>
          <w:highlight w:val="magenta"/>
        </w:rPr>
        <w:t>practice</w:t>
      </w:r>
      <w:r w:rsidRPr="000F70A3">
        <w:t xml:space="preserve"> and GPs are largely reliant on clinical features in their assessment of children with ILI. This is in a climate of increasing concern regarding antibiotic overuse but with the knowledge that </w:t>
      </w:r>
      <w:r w:rsidRPr="000F70A3">
        <w:rPr>
          <w:color w:val="00B0F0"/>
        </w:rPr>
        <w:t>‘</w:t>
      </w:r>
      <w:r w:rsidRPr="000F70A3">
        <w:t>at risk</w:t>
      </w:r>
      <w:r w:rsidRPr="000F70A3">
        <w:rPr>
          <w:color w:val="00B0F0"/>
        </w:rPr>
        <w:t>’</w:t>
      </w:r>
      <w:r w:rsidRPr="000F70A3">
        <w:t xml:space="preserve"> children can deteriorate rapidly. We investigated GPs</w:t>
      </w:r>
      <w:r w:rsidRPr="000F70A3">
        <w:rPr>
          <w:color w:val="00B0F0"/>
        </w:rPr>
        <w:t>’</w:t>
      </w:r>
      <w:r w:rsidRPr="000F70A3">
        <w:t xml:space="preserve"> accounts of factors influencing their </w:t>
      </w:r>
      <w:r w:rsidRPr="000F70A3">
        <w:rPr>
          <w:color w:val="00B0F0"/>
        </w:rPr>
        <w:t>decision-mak</w:t>
      </w:r>
      <w:r w:rsidRPr="000F70A3">
        <w:t xml:space="preserve">ing about antibiotic prescribing in the management of </w:t>
      </w:r>
      <w:r w:rsidRPr="000F70A3">
        <w:rPr>
          <w:color w:val="00B0F0"/>
        </w:rPr>
        <w:t>‘</w:t>
      </w:r>
      <w:r w:rsidRPr="000F70A3">
        <w:t>at risk</w:t>
      </w:r>
      <w:r w:rsidRPr="000F70A3">
        <w:rPr>
          <w:color w:val="00B0F0"/>
        </w:rPr>
        <w:t>’</w:t>
      </w:r>
      <w:r w:rsidRPr="000F70A3">
        <w:t xml:space="preserve"> children with influenza/ILI.</w:t>
      </w:r>
    </w:p>
    <w:p w14:paraId="3E2A463C" w14:textId="77777777" w:rsidR="000F70A3" w:rsidRPr="000F70A3" w:rsidRDefault="000F70A3" w:rsidP="00E23840">
      <w:pPr>
        <w:pStyle w:val="602TextfoTextstylesTextstyles"/>
      </w:pPr>
      <w:r w:rsidRPr="000F70A3">
        <w:t>This work has been published as a separate paper Ashdown HF, Räisänen U, Wang K,</w:t>
      </w:r>
      <w:r w:rsidRPr="000F70A3">
        <w:rPr>
          <w:i/>
          <w:color w:val="00B0F0"/>
        </w:rPr>
        <w:t xml:space="preserve"> et al</w:t>
      </w:r>
      <w:r w:rsidRPr="000F70A3">
        <w:t xml:space="preserve">. Prescribing antibiotics to </w:t>
      </w:r>
      <w:r w:rsidRPr="000F70A3">
        <w:rPr>
          <w:color w:val="00B0F0"/>
        </w:rPr>
        <w:t>‘</w:t>
      </w:r>
      <w:r w:rsidRPr="000F70A3">
        <w:t>at-risk</w:t>
      </w:r>
      <w:r w:rsidRPr="000F70A3">
        <w:rPr>
          <w:color w:val="00B0F0"/>
        </w:rPr>
        <w:t>’</w:t>
      </w:r>
      <w:r w:rsidRPr="000F70A3">
        <w:t xml:space="preserve"> children with influenza-like illness in primary care: qualitative study. </w:t>
      </w:r>
      <w:r w:rsidRPr="000F70A3">
        <w:rPr>
          <w:i/>
        </w:rPr>
        <w:t>BMJ Open</w:t>
      </w:r>
      <w:r w:rsidRPr="000F70A3">
        <w:t xml:space="preserve"> 2016;6: e011497. DOI: </w:t>
      </w:r>
      <w:r w:rsidRPr="000F70A3">
        <w:rPr>
          <w:rFonts w:cs="Calibri"/>
          <w:shd w:val="clear" w:color="auto" w:fill="FFFFFF"/>
        </w:rPr>
        <w:t>http://dx.doi.org/10.1136/bmjopen-2016-011497</w:t>
      </w:r>
      <w:r w:rsidRPr="000F70A3">
        <w:rPr>
          <w:rFonts w:cs="Calibri"/>
          <w:color w:val="2A6EBB"/>
          <w:u w:val="single"/>
          <w:shd w:val="clear" w:color="auto" w:fill="FFFFFF"/>
        </w:rPr>
        <w:t xml:space="preserve">. </w:t>
      </w:r>
      <w:r w:rsidRPr="000F70A3">
        <w:t>Work package b interview schedules and GP regional demographics are available as Report Supplementary Material 1.</w:t>
      </w:r>
    </w:p>
    <w:p w14:paraId="76D53CF1" w14:textId="77777777" w:rsidR="000F70A3" w:rsidRPr="000F70A3" w:rsidRDefault="000F70A3" w:rsidP="00E23840">
      <w:pPr>
        <w:pStyle w:val="53BheadHeadingsHeadingstyles"/>
      </w:pPr>
      <w:r w:rsidRPr="000F70A3">
        <w:t>Aims</w:t>
      </w:r>
    </w:p>
    <w:p w14:paraId="6D8FDEE3" w14:textId="77777777" w:rsidR="000F70A3" w:rsidRPr="000F70A3" w:rsidRDefault="000F70A3" w:rsidP="0073639B">
      <w:pPr>
        <w:pStyle w:val="602TextfoTextstylesTextstyles"/>
      </w:pPr>
      <w:r w:rsidRPr="000F70A3">
        <w:t xml:space="preserve">To identify and explore the key factors likely to influence implementation of our research findings by gathering a representative range of GP perspectives on diagnosis and treatment decisions when </w:t>
      </w:r>
      <w:r w:rsidRPr="000F70A3">
        <w:rPr>
          <w:color w:val="00B0F0"/>
        </w:rPr>
        <w:t>‘</w:t>
      </w:r>
      <w:r w:rsidRPr="000F70A3">
        <w:t>at risk</w:t>
      </w:r>
      <w:r w:rsidRPr="000F70A3">
        <w:rPr>
          <w:color w:val="00B0F0"/>
        </w:rPr>
        <w:t>’</w:t>
      </w:r>
      <w:r w:rsidRPr="000F70A3">
        <w:t xml:space="preserve"> children with influenza/ILI present in general </w:t>
      </w:r>
      <w:r w:rsidRPr="000F70A3">
        <w:rPr>
          <w:highlight w:val="magenta"/>
        </w:rPr>
        <w:t>practice</w:t>
      </w:r>
      <w:r w:rsidRPr="000F70A3">
        <w:t>.</w:t>
      </w:r>
    </w:p>
    <w:p w14:paraId="436695B0" w14:textId="77777777" w:rsidR="000F70A3" w:rsidRPr="000F70A3" w:rsidRDefault="000F70A3" w:rsidP="0073639B">
      <w:pPr>
        <w:pStyle w:val="53BheadHeadingsHeadingstyles"/>
      </w:pPr>
      <w:r w:rsidRPr="000F70A3">
        <w:t>Methods</w:t>
      </w:r>
    </w:p>
    <w:p w14:paraId="51895814" w14:textId="77777777" w:rsidR="000F70A3" w:rsidRPr="000F70A3" w:rsidRDefault="000F70A3" w:rsidP="0073639B">
      <w:pPr>
        <w:pStyle w:val="602TextfoTextstylesTextstyles"/>
      </w:pPr>
      <w:r w:rsidRPr="000F70A3">
        <w:t xml:space="preserve">Interview participants were recruited via a range of methods including the former local Primary Care Trust (PCT) lists, and Primary Care Research Network (PCRN). </w:t>
      </w:r>
      <w:r w:rsidRPr="000F70A3">
        <w:rPr>
          <w:highlight w:val="magenta"/>
        </w:rPr>
        <w:t>Data</w:t>
      </w:r>
      <w:r w:rsidRPr="000F70A3">
        <w:t xml:space="preserve"> on deprivation and prescribing were obtained via the NHS Information Centre in October 2012.</w:t>
      </w:r>
      <w:r w:rsidRPr="000F70A3">
        <w:rPr>
          <w:noProof/>
          <w:vertAlign w:val="superscript"/>
        </w:rPr>
        <w:t>34 35</w:t>
      </w:r>
      <w:r w:rsidRPr="000F70A3">
        <w:t xml:space="preserve"> We aimed for maximum variation in our sample according to duration of experience in general </w:t>
      </w:r>
      <w:r w:rsidRPr="000F70A3">
        <w:rPr>
          <w:highlight w:val="magenta"/>
        </w:rPr>
        <w:t>practice</w:t>
      </w:r>
      <w:r w:rsidRPr="000F70A3">
        <w:t xml:space="preserve"> and local factors. Interviews took place over telephone, Skype or face to face between March 2013 and March 2014. A GP academic registrar conducted the interviews and aimed to complete each interview in around 20 minutes in view of GPs</w:t>
      </w:r>
      <w:r w:rsidRPr="000F70A3">
        <w:rPr>
          <w:color w:val="00B0F0"/>
        </w:rPr>
        <w:t>’</w:t>
      </w:r>
      <w:r w:rsidRPr="000F70A3">
        <w:t xml:space="preserve"> working schedules.</w:t>
      </w:r>
    </w:p>
    <w:p w14:paraId="1D04DA9F" w14:textId="77777777" w:rsidR="000F70A3" w:rsidRPr="000F70A3" w:rsidRDefault="000F70A3" w:rsidP="0073639B">
      <w:pPr>
        <w:pStyle w:val="602TextfoTextstylesTextstyles"/>
      </w:pPr>
      <w:r w:rsidRPr="000F70A3">
        <w:t xml:space="preserve">Our semi-structured interviews included a mock case vignette, which GPs were sent by </w:t>
      </w:r>
      <w:r w:rsidRPr="000F70A3">
        <w:rPr>
          <w:color w:val="00B0F0"/>
        </w:rPr>
        <w:t>e-mail</w:t>
      </w:r>
      <w:r w:rsidRPr="000F70A3">
        <w:t xml:space="preserve"> prior to their interview.. Additional clinical findings were revealed during the course of the interview to simulate information gathering during GP consultations.</w:t>
      </w:r>
    </w:p>
    <w:p w14:paraId="5E43DA0E" w14:textId="77777777" w:rsidR="000F70A3" w:rsidRPr="000F70A3" w:rsidRDefault="000F70A3" w:rsidP="0073639B">
      <w:pPr>
        <w:pStyle w:val="602TextfoTextstylesTextstyles"/>
      </w:pPr>
      <w:r w:rsidRPr="000F70A3">
        <w:t>The research team developed the interview topic guide. It was then piloted with two GPs who did not participate in interviews for the study.</w:t>
      </w:r>
    </w:p>
    <w:p w14:paraId="6C11322F" w14:textId="77777777" w:rsidR="000F70A3" w:rsidRPr="000F70A3" w:rsidRDefault="000F70A3" w:rsidP="0073639B">
      <w:pPr>
        <w:pStyle w:val="53BheadHeadingsHeadingstyles"/>
      </w:pPr>
      <w:r w:rsidRPr="000F70A3">
        <w:t>Analysis</w:t>
      </w:r>
    </w:p>
    <w:p w14:paraId="6ABF32E0" w14:textId="77777777" w:rsidR="000F70A3" w:rsidRPr="000F70A3" w:rsidRDefault="000F70A3" w:rsidP="0073639B">
      <w:pPr>
        <w:pStyle w:val="602TextfoTextstylesTextstyles"/>
      </w:pPr>
      <w:r w:rsidRPr="000F70A3">
        <w:t>We conducted thematic analysis using constant comparison, deriving our coding scheme from the interview data</w:t>
      </w:r>
      <w:r w:rsidRPr="000F70A3">
        <w:rPr>
          <w:noProof/>
          <w:vertAlign w:val="superscript"/>
        </w:rPr>
        <w:t>36</w:t>
      </w:r>
      <w:r w:rsidRPr="000F70A3">
        <w:t xml:space="preserve">. Two researchers coded the </w:t>
      </w:r>
      <w:r w:rsidRPr="000F70A3">
        <w:rPr>
          <w:highlight w:val="magenta"/>
        </w:rPr>
        <w:t>data</w:t>
      </w:r>
      <w:r w:rsidRPr="000F70A3">
        <w:t xml:space="preserve"> using NVivo V.10 until agreement was reached, after which coding was completed by one researcher. During the </w:t>
      </w:r>
      <w:r w:rsidRPr="000F70A3">
        <w:rPr>
          <w:highlight w:val="magenta"/>
        </w:rPr>
        <w:t>latter</w:t>
      </w:r>
      <w:r w:rsidRPr="000F70A3">
        <w:t xml:space="preserve"> interviews, applying the coding structure to the </w:t>
      </w:r>
      <w:r w:rsidRPr="000F70A3">
        <w:rPr>
          <w:color w:val="00B0F0"/>
          <w:highlight w:val="magenta"/>
        </w:rPr>
        <w:t>data</w:t>
      </w:r>
      <w:r w:rsidRPr="000F70A3">
        <w:rPr>
          <w:color w:val="00B0F0"/>
        </w:rPr>
        <w:t xml:space="preserve"> set</w:t>
      </w:r>
      <w:r w:rsidRPr="000F70A3">
        <w:t xml:space="preserve"> helped facilitate revision of the topic guide and establish when </w:t>
      </w:r>
      <w:r w:rsidRPr="000F70A3">
        <w:rPr>
          <w:highlight w:val="magenta"/>
        </w:rPr>
        <w:t>data</w:t>
      </w:r>
      <w:r w:rsidRPr="000F70A3">
        <w:t xml:space="preserve"> saturation had been achieved. Analytic and conceptual categories were developed by grouping codes. The </w:t>
      </w:r>
      <w:r w:rsidRPr="000F70A3">
        <w:rPr>
          <w:color w:val="00B0F0"/>
        </w:rPr>
        <w:t>‘</w:t>
      </w:r>
      <w:r w:rsidRPr="000F70A3">
        <w:t>comorbidity</w:t>
      </w:r>
      <w:r w:rsidRPr="000F70A3">
        <w:rPr>
          <w:color w:val="00B0F0"/>
        </w:rPr>
        <w:t>’</w:t>
      </w:r>
      <w:r w:rsidRPr="000F70A3">
        <w:t xml:space="preserve"> category was analysed by mind mapping to explore patterns in the </w:t>
      </w:r>
      <w:r w:rsidRPr="000F70A3">
        <w:rPr>
          <w:highlight w:val="magenta"/>
        </w:rPr>
        <w:t>data</w:t>
      </w:r>
      <w:r w:rsidRPr="000F70A3">
        <w:t xml:space="preserve"> and deviant cases </w:t>
      </w:r>
      <w:r w:rsidRPr="000F70A3">
        <w:rPr>
          <w:noProof/>
          <w:vertAlign w:val="superscript"/>
        </w:rPr>
        <w:t>36</w:t>
      </w:r>
    </w:p>
    <w:p w14:paraId="440FBAAE" w14:textId="77777777" w:rsidR="000F70A3" w:rsidRPr="000F70A3" w:rsidRDefault="000F70A3" w:rsidP="0073639B">
      <w:pPr>
        <w:pStyle w:val="53BheadHeadingsHeadingstyles"/>
      </w:pPr>
      <w:r w:rsidRPr="000F70A3">
        <w:t>Strengths &amp; Limitations</w:t>
      </w:r>
    </w:p>
    <w:p w14:paraId="2A796FFE" w14:textId="77777777" w:rsidR="000F70A3" w:rsidRPr="000F70A3" w:rsidRDefault="000F70A3" w:rsidP="0073639B">
      <w:pPr>
        <w:pStyle w:val="602TextfoTextstylesTextstyles"/>
      </w:pPr>
      <w:r w:rsidRPr="000F70A3">
        <w:t xml:space="preserve">We interviewed a diverse sample of GPs, thereby providing a comprehensive and varied range of views on clinical decision-making in </w:t>
      </w:r>
      <w:r w:rsidRPr="000F70A3">
        <w:rPr>
          <w:color w:val="00B0F0"/>
        </w:rPr>
        <w:t>‘</w:t>
      </w:r>
      <w:r w:rsidRPr="000F70A3">
        <w:t>at risk</w:t>
      </w:r>
      <w:r w:rsidRPr="000F70A3">
        <w:rPr>
          <w:color w:val="00B0F0"/>
        </w:rPr>
        <w:t>’</w:t>
      </w:r>
      <w:r w:rsidRPr="000F70A3">
        <w:t xml:space="preserve"> children with ILI. The case vignette encouraged GPs to discuss their decision in real time, as if in a consultation. Interview participants</w:t>
      </w:r>
      <w:r w:rsidRPr="000F70A3">
        <w:rPr>
          <w:color w:val="00B0F0"/>
        </w:rPr>
        <w:t>’</w:t>
      </w:r>
      <w:r w:rsidRPr="000F70A3">
        <w:t xml:space="preserve"> responses may have been influenced by knowing that the researcher conducting their interview was a GP trainee, but considerable uncertainty was still evident. A qualitative researcher also reviewed early interview transcripts to ensure that the interview did not come across as testing participants.</w:t>
      </w:r>
    </w:p>
    <w:p w14:paraId="0FCA2164" w14:textId="77777777" w:rsidR="000F70A3" w:rsidRPr="000F70A3" w:rsidRDefault="000F70A3" w:rsidP="0073639B">
      <w:pPr>
        <w:pStyle w:val="53BheadHeadingsHeadingstyles"/>
      </w:pPr>
      <w:r w:rsidRPr="000F70A3">
        <w:t>Key Findings</w:t>
      </w:r>
    </w:p>
    <w:p w14:paraId="586FC30E" w14:textId="36A50E2A" w:rsidR="000F70A3" w:rsidRPr="000F70A3" w:rsidRDefault="000F70A3" w:rsidP="0073639B">
      <w:pPr>
        <w:pStyle w:val="611BulletlistTextstyles"/>
      </w:pPr>
      <w:r w:rsidRPr="000F70A3">
        <w:t>GPs expressed uncertainty and different views on the potential impact of comorbidities on risk of clinical deterioration and how this risk should be managed.</w:t>
      </w:r>
    </w:p>
    <w:p w14:paraId="529AE619" w14:textId="51650351" w:rsidR="000F70A3" w:rsidRPr="000F70A3" w:rsidRDefault="000F70A3" w:rsidP="0073639B">
      <w:pPr>
        <w:pStyle w:val="611BulletlistTextstyles"/>
      </w:pPr>
      <w:r w:rsidRPr="000F70A3">
        <w:t>Factors which GPs considered included the child</w:t>
      </w:r>
      <w:r w:rsidRPr="000F70A3">
        <w:rPr>
          <w:color w:val="00B0F0"/>
        </w:rPr>
        <w:t>’</w:t>
      </w:r>
      <w:r w:rsidRPr="000F70A3">
        <w:t>s history, appearance, the GP</w:t>
      </w:r>
      <w:r w:rsidRPr="000F70A3">
        <w:rPr>
          <w:color w:val="00B0F0"/>
        </w:rPr>
        <w:t>–parent relationship</w:t>
      </w:r>
      <w:r w:rsidRPr="000F70A3">
        <w:t>, and the GP</w:t>
      </w:r>
      <w:r w:rsidRPr="000F70A3">
        <w:rPr>
          <w:color w:val="00B0F0"/>
        </w:rPr>
        <w:t>’</w:t>
      </w:r>
      <w:r w:rsidRPr="000F70A3">
        <w:t>s own conﬁdence in local arrangements for out of hours care.</w:t>
      </w:r>
    </w:p>
    <w:p w14:paraId="1B7A2A25" w14:textId="5787AC9B" w:rsidR="000F70A3" w:rsidRPr="000F70A3" w:rsidRDefault="000F70A3" w:rsidP="0073639B">
      <w:pPr>
        <w:pStyle w:val="611BulletlistTextstyles"/>
      </w:pPr>
      <w:r w:rsidRPr="000F70A3">
        <w:t>Neither clinical suspicion of inﬂuenza nor immunisation status were considered important factors.</w:t>
      </w:r>
    </w:p>
    <w:p w14:paraId="38AF97D9" w14:textId="62D67F62" w:rsidR="000F70A3" w:rsidRPr="000F70A3" w:rsidRDefault="000F70A3" w:rsidP="0073639B">
      <w:pPr>
        <w:pStyle w:val="614TextbulletlistlastTextstylesTextstyles"/>
      </w:pPr>
      <w:r w:rsidRPr="000F70A3">
        <w:t>GPs did not view inﬂuenza differently from other causes of RTI in children, despite the greater risk of bacterial infections.</w:t>
      </w:r>
    </w:p>
    <w:p w14:paraId="43612178" w14:textId="77777777" w:rsidR="000F70A3" w:rsidRPr="000F70A3" w:rsidRDefault="000F70A3" w:rsidP="0073639B">
      <w:pPr>
        <w:pStyle w:val="53BheadHeadingsHeadingstyles"/>
      </w:pPr>
      <w:r w:rsidRPr="000F70A3">
        <w:t>Interrelationship with other parts of the Programme</w:t>
      </w:r>
    </w:p>
    <w:p w14:paraId="004DD6EF" w14:textId="77777777" w:rsidR="000F70A3" w:rsidRPr="000F70A3" w:rsidRDefault="000F70A3" w:rsidP="0073639B">
      <w:pPr>
        <w:pStyle w:val="602TextfoTextstylesTextstyles"/>
      </w:pPr>
      <w:r w:rsidRPr="000F70A3">
        <w:t xml:space="preserve">This work informs the relevance and acceptability of work carried out as part of work packages c, d &amp; e to a key stakeholder group, in this case GPs. The uncertainty surrounding when to prescribe an antibiotic when an </w:t>
      </w:r>
      <w:r w:rsidRPr="000F70A3">
        <w:rPr>
          <w:color w:val="00B0F0"/>
          <w:highlight w:val="green"/>
        </w:rPr>
        <w:t>‘</w:t>
      </w:r>
      <w:r w:rsidRPr="000F70A3">
        <w:rPr>
          <w:highlight w:val="green"/>
        </w:rPr>
        <w:t>at risk child</w:t>
      </w:r>
      <w:r w:rsidRPr="000F70A3">
        <w:rPr>
          <w:color w:val="00B0F0"/>
          <w:highlight w:val="green"/>
        </w:rPr>
        <w:t>’</w:t>
      </w:r>
      <w:r w:rsidRPr="000F70A3">
        <w:t xml:space="preserve"> present with ILI highlights the need for more evidence to allow clinicians to base decisions on.</w:t>
      </w:r>
    </w:p>
    <w:p w14:paraId="453B363D" w14:textId="77777777" w:rsidR="000F70A3" w:rsidRPr="000F70A3" w:rsidRDefault="000F70A3" w:rsidP="00487BFC">
      <w:pPr>
        <w:pStyle w:val="52AheadHeadingsHeadingstyles"/>
      </w:pPr>
      <w:bookmarkStart w:id="18" w:name="_Toc106099126"/>
      <w:bookmarkStart w:id="19" w:name="_Toc61506833"/>
      <w:r w:rsidRPr="000F70A3">
        <w:rPr>
          <w:rFonts w:eastAsia="DengXian Light"/>
        </w:rPr>
        <w:t xml:space="preserve">Addressing </w:t>
      </w:r>
      <w:r w:rsidRPr="000F70A3">
        <w:t xml:space="preserve">objective 3: To explore the experiences of parents of at risk children who have previously become unwell </w:t>
      </w:r>
      <w:r w:rsidRPr="000F70A3">
        <w:rPr>
          <w:highlight w:val="magenta"/>
        </w:rPr>
        <w:t>due to</w:t>
      </w:r>
      <w:r w:rsidRPr="000F70A3">
        <w:t xml:space="preserve"> influenza/ILI &amp;</w:t>
      </w:r>
      <w:bookmarkEnd w:id="18"/>
    </w:p>
    <w:p w14:paraId="0B9C8A79" w14:textId="77777777" w:rsidR="000F70A3" w:rsidRPr="000F70A3" w:rsidRDefault="000F70A3" w:rsidP="00487BFC">
      <w:pPr>
        <w:pStyle w:val="52AheadHeadingsHeadingstyles"/>
        <w:rPr>
          <w:rFonts w:eastAsia="DengXian Light"/>
        </w:rPr>
      </w:pPr>
      <w:bookmarkStart w:id="20" w:name="_Toc106099127"/>
      <w:r w:rsidRPr="000F70A3">
        <w:rPr>
          <w:rFonts w:eastAsia="DengXian Light"/>
        </w:rPr>
        <w:t>Addressing objective 4: To explore parental consulting attitudes in relation to influenza/ILI</w:t>
      </w:r>
      <w:bookmarkEnd w:id="19"/>
      <w:r w:rsidRPr="000F70A3">
        <w:rPr>
          <w:rFonts w:eastAsia="DengXian Light"/>
        </w:rPr>
        <w:t xml:space="preserve"> and involve parents of at risk children in the development of trial materials</w:t>
      </w:r>
      <w:bookmarkEnd w:id="20"/>
    </w:p>
    <w:p w14:paraId="0F78EA53" w14:textId="77777777" w:rsidR="000F70A3" w:rsidRPr="000F70A3" w:rsidRDefault="000F70A3" w:rsidP="00487BFC">
      <w:pPr>
        <w:pStyle w:val="602TextfoTextstylesTextstyles"/>
      </w:pPr>
      <w:r w:rsidRPr="000F70A3">
        <w:t>We aimed to examine parents</w:t>
      </w:r>
      <w:r w:rsidRPr="000F70A3">
        <w:rPr>
          <w:color w:val="00B0F0"/>
        </w:rPr>
        <w:t>’</w:t>
      </w:r>
      <w:r w:rsidRPr="000F70A3">
        <w:t xml:space="preserve"> attitudes to contacting their doctor when their child develops an influenza-like illness and understand experiences of parents of </w:t>
      </w:r>
      <w:r w:rsidRPr="000F70A3">
        <w:rPr>
          <w:color w:val="00B0F0"/>
        </w:rPr>
        <w:t>‘</w:t>
      </w:r>
      <w:r w:rsidRPr="000F70A3">
        <w:t>at risk</w:t>
      </w:r>
      <w:r w:rsidRPr="000F70A3">
        <w:rPr>
          <w:color w:val="00B0F0"/>
        </w:rPr>
        <w:t>’</w:t>
      </w:r>
      <w:r w:rsidRPr="000F70A3">
        <w:t xml:space="preserve"> children who have previously become unwell </w:t>
      </w:r>
      <w:r w:rsidRPr="000F70A3">
        <w:rPr>
          <w:highlight w:val="magenta"/>
        </w:rPr>
        <w:t>due to</w:t>
      </w:r>
      <w:r w:rsidRPr="000F70A3">
        <w:t xml:space="preserve"> influenza-like illness. Additionally we explored parents</w:t>
      </w:r>
      <w:r w:rsidRPr="000F70A3">
        <w:rPr>
          <w:color w:val="00B0F0"/>
        </w:rPr>
        <w:t>’</w:t>
      </w:r>
      <w:r w:rsidRPr="000F70A3">
        <w:t xml:space="preserve"> beliefs regarding the relative necessity of antibiotics vs. concerns that antibiotics may cause harm to their child as general attitudes towards antimicrobial stewardship have significant implications for our findings.</w:t>
      </w:r>
    </w:p>
    <w:p w14:paraId="2CC225A1" w14:textId="77777777" w:rsidR="000F70A3" w:rsidRPr="000F70A3" w:rsidRDefault="000F70A3" w:rsidP="00487BFC">
      <w:pPr>
        <w:pStyle w:val="602TextfoTextstylesTextstyles"/>
        <w:rPr>
          <w:color w:val="2A6EBB"/>
          <w:u w:val="single"/>
          <w:shd w:val="clear" w:color="auto" w:fill="FFFFFF"/>
        </w:rPr>
      </w:pPr>
      <w:r w:rsidRPr="000F70A3">
        <w:t xml:space="preserve">The work specifically pertaining to the experiences of parents with </w:t>
      </w:r>
      <w:r w:rsidRPr="000F70A3">
        <w:rPr>
          <w:color w:val="00B0F0"/>
        </w:rPr>
        <w:t>‘</w:t>
      </w:r>
      <w:r w:rsidRPr="000F70A3">
        <w:t>at risk</w:t>
      </w:r>
      <w:r w:rsidRPr="000F70A3">
        <w:rPr>
          <w:color w:val="00B0F0"/>
        </w:rPr>
        <w:t>’</w:t>
      </w:r>
      <w:r w:rsidRPr="000F70A3">
        <w:t xml:space="preserve"> children has been published online </w:t>
      </w:r>
      <w:r w:rsidRPr="000F70A3">
        <w:rPr>
          <w:sz w:val="24"/>
          <w:szCs w:val="24"/>
          <w:lang w:eastAsia="en-GB"/>
        </w:rPr>
        <w:t xml:space="preserve">at </w:t>
      </w:r>
      <w:r w:rsidRPr="000F70A3">
        <w:rPr>
          <w:color w:val="2A6EBB"/>
          <w:u w:val="single"/>
          <w:shd w:val="clear" w:color="auto" w:fill="FFFFFF"/>
        </w:rPr>
        <w:t>https://www.healthtalk.org/flu-or-flu-illness-chronically-ill-or-disabled-children/overview</w:t>
      </w:r>
    </w:p>
    <w:p w14:paraId="2F2A6329" w14:textId="77777777" w:rsidR="000F70A3" w:rsidRPr="000F70A3" w:rsidRDefault="000F70A3" w:rsidP="00487BFC">
      <w:pPr>
        <w:pStyle w:val="602TextfoTextstylesTextstyles"/>
        <w:rPr>
          <w:sz w:val="24"/>
          <w:szCs w:val="24"/>
          <w:lang w:eastAsia="en-GB"/>
        </w:rPr>
      </w:pPr>
      <w:r w:rsidRPr="000F70A3">
        <w:t>We have also published an additional paper on general parental attitudes towards antimicrobial stewardship as a separate paper,</w:t>
      </w:r>
      <w:r w:rsidRPr="000F70A3">
        <w:rPr>
          <w:sz w:val="24"/>
          <w:szCs w:val="24"/>
          <w:lang w:eastAsia="en-GB"/>
        </w:rPr>
        <w:t xml:space="preserve"> </w:t>
      </w:r>
      <w:r w:rsidRPr="000F70A3">
        <w:t xml:space="preserve">Van Hecke O, Butler CC, Wang K, Tonkin-Crine S, </w:t>
      </w:r>
      <w:r w:rsidRPr="000F70A3">
        <w:rPr>
          <w:color w:val="00B0F0"/>
          <w:highlight w:val="green"/>
        </w:rPr>
        <w:t>“</w:t>
      </w:r>
      <w:r w:rsidRPr="000F70A3">
        <w:rPr>
          <w:highlight w:val="green"/>
        </w:rPr>
        <w:t>Parents</w:t>
      </w:r>
      <w:r w:rsidRPr="000F70A3">
        <w:rPr>
          <w:color w:val="00B0F0"/>
          <w:highlight w:val="green"/>
        </w:rPr>
        <w:t>’</w:t>
      </w:r>
      <w:r w:rsidRPr="000F70A3">
        <w:rPr>
          <w:highlight w:val="green"/>
        </w:rPr>
        <w:t xml:space="preserve"> perceptions of antibiotic use and antibiotic resistance (PAUSE): a qualitative interview study</w:t>
      </w:r>
      <w:r w:rsidRPr="000F70A3">
        <w:rPr>
          <w:color w:val="00B0F0"/>
          <w:highlight w:val="green"/>
        </w:rPr>
        <w:t>”</w:t>
      </w:r>
      <w:r w:rsidRPr="000F70A3">
        <w:rPr>
          <w:i/>
        </w:rPr>
        <w:t xml:space="preserve">, Antimicrob Chemother. </w:t>
      </w:r>
      <w:r w:rsidRPr="000F70A3">
        <w:t>2019 Jun 1;74(6):1741</w:t>
      </w:r>
      <w:r w:rsidRPr="000F70A3">
        <w:rPr>
          <w:color w:val="00B0F0"/>
        </w:rPr>
        <w:t>–1</w:t>
      </w:r>
      <w:r w:rsidRPr="000F70A3">
        <w:t xml:space="preserve">747. DOI: </w:t>
      </w:r>
      <w:r w:rsidRPr="000F70A3">
        <w:rPr>
          <w:rFonts w:cs="Calibri"/>
          <w:color w:val="0563C1"/>
          <w:u w:val="single"/>
          <w:lang w:eastAsia="en-GB"/>
        </w:rPr>
        <w:t>https://doi.org/10.1093/jac/dkz091</w:t>
      </w:r>
    </w:p>
    <w:p w14:paraId="082AF54A" w14:textId="77777777" w:rsidR="000F70A3" w:rsidRPr="000F70A3" w:rsidRDefault="000F70A3" w:rsidP="00487BFC">
      <w:pPr>
        <w:pStyle w:val="53BheadHeadingsHeadingstyles"/>
      </w:pPr>
      <w:r w:rsidRPr="000F70A3">
        <w:t>Aims</w:t>
      </w:r>
    </w:p>
    <w:p w14:paraId="7310BFBE" w14:textId="77777777" w:rsidR="000F70A3" w:rsidRPr="000F70A3" w:rsidRDefault="000F70A3" w:rsidP="00487BFC">
      <w:pPr>
        <w:pStyle w:val="602TextfoTextstylesTextstyles"/>
      </w:pPr>
      <w:r w:rsidRPr="000F70A3">
        <w:t xml:space="preserve">To identify and explore the key factors likely to influence implementation of our research findings by gathering a representative range of parent perspectives on influenza/ILI in </w:t>
      </w:r>
      <w:r w:rsidRPr="000F70A3">
        <w:rPr>
          <w:color w:val="00B0F0"/>
        </w:rPr>
        <w:t>‘</w:t>
      </w:r>
      <w:r w:rsidRPr="000F70A3">
        <w:t>at risk</w:t>
      </w:r>
      <w:r w:rsidRPr="000F70A3">
        <w:rPr>
          <w:color w:val="00B0F0"/>
        </w:rPr>
        <w:t>’</w:t>
      </w:r>
      <w:r w:rsidRPr="000F70A3">
        <w:t xml:space="preserve"> children.</w:t>
      </w:r>
    </w:p>
    <w:p w14:paraId="6498CE23" w14:textId="77777777" w:rsidR="000F70A3" w:rsidRPr="000F70A3" w:rsidRDefault="000F70A3" w:rsidP="00487BFC">
      <w:pPr>
        <w:pStyle w:val="53BheadHeadingsHeadingstyles"/>
      </w:pPr>
      <w:r w:rsidRPr="000F70A3">
        <w:t>Methods</w:t>
      </w:r>
    </w:p>
    <w:p w14:paraId="55290721" w14:textId="77777777" w:rsidR="000F70A3" w:rsidRPr="000F70A3" w:rsidRDefault="000F70A3" w:rsidP="00487BFC">
      <w:pPr>
        <w:pStyle w:val="602TextfoTextstylesTextstyles"/>
      </w:pPr>
      <w:r w:rsidRPr="000F70A3">
        <w:t>For our section on Healthtalk.org parents were recruited to take part in interviews and/or focus groups using a range of strategies and sources. These include a national network of GPs, advertising online support groups and forums, local newspapers and snowballing. We also recruited parents via the Health Experiences Research Group (Nuffield Department of Primary Care Health Sciences, University of Oxford) expert advisory panel members, who include patients, health care professionals and researchers with relevant content and research expertise.</w:t>
      </w:r>
    </w:p>
    <w:p w14:paraId="220364D7" w14:textId="77777777" w:rsidR="000F70A3" w:rsidRPr="000F70A3" w:rsidRDefault="000F70A3" w:rsidP="00487BFC">
      <w:pPr>
        <w:pStyle w:val="602TextfoTextstylesTextstyles"/>
      </w:pPr>
      <w:r w:rsidRPr="000F70A3">
        <w:t xml:space="preserve">We conducted in-depth qualitative interviews with 31 individual parents/carers and two couples of </w:t>
      </w:r>
      <w:r w:rsidRPr="000F70A3">
        <w:rPr>
          <w:color w:val="00B0F0"/>
        </w:rPr>
        <w:t>‘</w:t>
      </w:r>
      <w:r w:rsidRPr="000F70A3">
        <w:t>at risk</w:t>
      </w:r>
      <w:r w:rsidRPr="000F70A3">
        <w:rPr>
          <w:color w:val="00B0F0"/>
        </w:rPr>
        <w:t>’</w:t>
      </w:r>
      <w:r w:rsidRPr="000F70A3">
        <w:t xml:space="preserve"> children across England for Healthtalk.org. Interviews were video and audio recorded with consent, exploring families</w:t>
      </w:r>
      <w:r w:rsidRPr="000F70A3">
        <w:rPr>
          <w:color w:val="00B0F0"/>
        </w:rPr>
        <w:t>’</w:t>
      </w:r>
      <w:r w:rsidRPr="000F70A3">
        <w:t xml:space="preserve"> experiences of their child falling ill with ILI. This included discussion of background/previous experience of ILI, consulting process &amp; experience, impact within family life, life after/reflections, past experiences of clinical trials, practical, social, ethical factors influencing attitudes etc.</w:t>
      </w:r>
    </w:p>
    <w:p w14:paraId="77405C80" w14:textId="77777777" w:rsidR="000F70A3" w:rsidRPr="000F70A3" w:rsidRDefault="000F70A3" w:rsidP="00487BFC">
      <w:pPr>
        <w:pStyle w:val="602TextfoTextstylesTextstyles"/>
      </w:pPr>
      <w:r w:rsidRPr="000F70A3">
        <w:t xml:space="preserve">PAUSE interviewed 23 parents of pre-school children in Oxfordshire who had a respiratory tract infection in past three months to explore their attitudes, </w:t>
      </w:r>
      <w:r w:rsidRPr="000F70A3">
        <w:rPr>
          <w:rFonts w:ascii="Calibri" w:hAnsi="Calibri" w:cs="Calibri"/>
          <w:szCs w:val="24"/>
        </w:rPr>
        <w:t>perceptions and understanding of antibiotic use and resistance.</w:t>
      </w:r>
    </w:p>
    <w:p w14:paraId="7B2996E1" w14:textId="77777777" w:rsidR="000F70A3" w:rsidRPr="000F70A3" w:rsidRDefault="000F70A3" w:rsidP="00487BFC">
      <w:pPr>
        <w:pStyle w:val="53BheadHeadingsHeadingstyles"/>
      </w:pPr>
      <w:r w:rsidRPr="000F70A3">
        <w:t>Analysis</w:t>
      </w:r>
    </w:p>
    <w:p w14:paraId="058E23A9" w14:textId="77777777" w:rsidR="000F70A3" w:rsidRPr="000F70A3" w:rsidRDefault="000F70A3" w:rsidP="00487BFC">
      <w:pPr>
        <w:pStyle w:val="602TextfoTextstylesTextstyles"/>
      </w:pPr>
      <w:r w:rsidRPr="000F70A3">
        <w:rPr>
          <w:highlight w:val="magenta"/>
        </w:rPr>
        <w:t>Data</w:t>
      </w:r>
      <w:r w:rsidRPr="000F70A3">
        <w:t xml:space="preserve"> analysis transcripts were entered into Nvivo software (v6) for our Healthtalk.org analysis and used to help organise and analyse anticipated and emergent themes using constant comparison. This ensured that we identify issues that are important to parents and children, not just those that health professionals and researchers perceive as being important. </w:t>
      </w:r>
      <w:r w:rsidRPr="000F70A3">
        <w:rPr>
          <w:highlight w:val="magenta"/>
        </w:rPr>
        <w:t>Data</w:t>
      </w:r>
      <w:r w:rsidRPr="000F70A3">
        <w:t xml:space="preserve"> collection proceeded simultaneously and continued until </w:t>
      </w:r>
      <w:r w:rsidRPr="000F70A3">
        <w:rPr>
          <w:highlight w:val="magenta"/>
        </w:rPr>
        <w:t>data</w:t>
      </w:r>
      <w:r w:rsidRPr="000F70A3">
        <w:t xml:space="preserve"> saturation was reached. Nvivo software (v11) was also used to analyse the PAUSE interviews. Ten PAUSE interviews were coded and categorised to create themes and sub themes and applied to subsequent interviews. Agreement on themes and subthemes was sought between members of the research team and 20% of the transcripts were coded by two members of the research team to ensure consistency.</w:t>
      </w:r>
    </w:p>
    <w:p w14:paraId="38FACFDB" w14:textId="77777777" w:rsidR="000F70A3" w:rsidRPr="000F70A3" w:rsidRDefault="000F70A3" w:rsidP="00487BFC">
      <w:pPr>
        <w:pStyle w:val="53BheadHeadingsHeadingstyles"/>
      </w:pPr>
      <w:r w:rsidRPr="000F70A3">
        <w:t>Strength &amp; Limitations</w:t>
      </w:r>
    </w:p>
    <w:p w14:paraId="0904C6A6" w14:textId="77777777" w:rsidR="000F70A3" w:rsidRPr="000F70A3" w:rsidRDefault="000F70A3" w:rsidP="00487BFC">
      <w:pPr>
        <w:pStyle w:val="602TextfoTextstylesTextstyles"/>
        <w:rPr>
          <w:rFonts w:ascii="Calibri" w:hAnsi="Calibri" w:cs="Calibri"/>
          <w:szCs w:val="24"/>
        </w:rPr>
      </w:pPr>
      <w:r w:rsidRPr="000F70A3">
        <w:t xml:space="preserve">A key strength of this work is it allows parents to speak of their own experiences directly and Healthtalk.org represents parents of children with varying ages and health conditions living in a range of geographical locations. PAUSE is the </w:t>
      </w:r>
      <w:r w:rsidRPr="000F70A3">
        <w:rPr>
          <w:rFonts w:ascii="Calibri" w:hAnsi="Calibri" w:cs="Calibri"/>
          <w:szCs w:val="24"/>
        </w:rPr>
        <w:t>first UK study that specifically focusses on parents</w:t>
      </w:r>
      <w:r w:rsidRPr="000F70A3">
        <w:rPr>
          <w:rFonts w:ascii="Calibri" w:hAnsi="Calibri" w:cs="Calibri"/>
          <w:color w:val="00B0F0"/>
          <w:szCs w:val="24"/>
        </w:rPr>
        <w:t>’</w:t>
      </w:r>
      <w:r w:rsidRPr="000F70A3">
        <w:rPr>
          <w:rFonts w:ascii="Calibri" w:hAnsi="Calibri" w:cs="Calibri"/>
          <w:szCs w:val="24"/>
        </w:rPr>
        <w:t xml:space="preserve"> perceptions of antibiotic resistance, its relevance for them, and the strategies that might work to change behaviour and reduce antibiotic use for children with acute RTIs. By understanding parents</w:t>
      </w:r>
      <w:r w:rsidRPr="000F70A3">
        <w:rPr>
          <w:rFonts w:ascii="Calibri" w:hAnsi="Calibri" w:cs="Calibri"/>
          <w:color w:val="00B0F0"/>
          <w:szCs w:val="24"/>
        </w:rPr>
        <w:t>’</w:t>
      </w:r>
      <w:r w:rsidRPr="000F70A3">
        <w:rPr>
          <w:rFonts w:ascii="Calibri" w:hAnsi="Calibri" w:cs="Calibri"/>
          <w:szCs w:val="24"/>
        </w:rPr>
        <w:t xml:space="preserve"> beliefs we can better understand the acceptability of our findings to them.</w:t>
      </w:r>
    </w:p>
    <w:p w14:paraId="174589BA" w14:textId="77777777" w:rsidR="000F70A3" w:rsidRPr="000F70A3" w:rsidRDefault="000F70A3" w:rsidP="00487BFC">
      <w:pPr>
        <w:pStyle w:val="602TextfoTextstylesTextstyles"/>
        <w:rPr>
          <w:rFonts w:ascii="Calibri" w:hAnsi="Calibri" w:cs="Calibri"/>
          <w:szCs w:val="24"/>
        </w:rPr>
      </w:pPr>
      <w:r w:rsidRPr="000F70A3">
        <w:t>A limitation is that parents willing to be interviewed about their experiences may be self-selecting and not truly representative. PAUSE was</w:t>
      </w:r>
      <w:r w:rsidRPr="000F70A3">
        <w:rPr>
          <w:rFonts w:ascii="Calibri" w:hAnsi="Calibri" w:cs="Calibri"/>
          <w:szCs w:val="24"/>
        </w:rPr>
        <w:t xml:space="preserve"> biased towards White British mothers and did not focus on </w:t>
      </w:r>
      <w:r w:rsidRPr="000F70A3">
        <w:rPr>
          <w:rFonts w:ascii="Calibri" w:hAnsi="Calibri" w:cs="Calibri"/>
          <w:color w:val="00B0F0"/>
          <w:szCs w:val="24"/>
        </w:rPr>
        <w:t>‘</w:t>
      </w:r>
      <w:r w:rsidRPr="000F70A3">
        <w:rPr>
          <w:rFonts w:ascii="Calibri" w:hAnsi="Calibri" w:cs="Calibri"/>
          <w:szCs w:val="24"/>
        </w:rPr>
        <w:t>at risk</w:t>
      </w:r>
      <w:r w:rsidRPr="000F70A3">
        <w:rPr>
          <w:rFonts w:ascii="Calibri" w:hAnsi="Calibri" w:cs="Calibri"/>
          <w:color w:val="00B0F0"/>
          <w:szCs w:val="24"/>
        </w:rPr>
        <w:t>’</w:t>
      </w:r>
      <w:r w:rsidRPr="000F70A3">
        <w:rPr>
          <w:rFonts w:ascii="Calibri" w:hAnsi="Calibri" w:cs="Calibri"/>
          <w:szCs w:val="24"/>
        </w:rPr>
        <w:t xml:space="preserve"> children. However, the attitudes and beliefs of those who do not need antibiotics routinely impacts those who do, making the PAUSE findings relevant to our overall objectives.</w:t>
      </w:r>
    </w:p>
    <w:p w14:paraId="61C1599E" w14:textId="77777777" w:rsidR="000F70A3" w:rsidRPr="000F70A3" w:rsidRDefault="000F70A3" w:rsidP="00487BFC">
      <w:pPr>
        <w:pStyle w:val="53BheadHeadingsHeadingstyles"/>
      </w:pPr>
      <w:r w:rsidRPr="000F70A3">
        <w:t>Key Findings</w:t>
      </w:r>
    </w:p>
    <w:p w14:paraId="5197F351" w14:textId="6CEFA630" w:rsidR="000F70A3" w:rsidRPr="000F70A3" w:rsidRDefault="000F70A3" w:rsidP="00487BFC">
      <w:pPr>
        <w:pStyle w:val="611BulletlistTextstyles"/>
      </w:pPr>
      <w:r w:rsidRPr="000F70A3">
        <w:t>Many parents discussed how quickly their child could deteriorate with an episode of influenza-like illness and that they were not always prepared for this consequence of their child</w:t>
      </w:r>
      <w:r w:rsidRPr="000F70A3">
        <w:rPr>
          <w:color w:val="00B0F0"/>
        </w:rPr>
        <w:t>’</w:t>
      </w:r>
      <w:r w:rsidRPr="000F70A3">
        <w:t>s underlying health condition.</w:t>
      </w:r>
    </w:p>
    <w:p w14:paraId="4D5E3A00" w14:textId="328E3C76" w:rsidR="000F70A3" w:rsidRPr="000F70A3" w:rsidRDefault="000F70A3" w:rsidP="00487BFC">
      <w:pPr>
        <w:pStyle w:val="611BulletlistTextstyles"/>
        <w:rPr>
          <w:rFonts w:ascii="Calibri" w:hAnsi="Calibri" w:cs="Calibri"/>
        </w:rPr>
      </w:pPr>
      <w:r w:rsidRPr="000F70A3">
        <w:rPr>
          <w:rFonts w:ascii="Calibri" w:hAnsi="Calibri" w:cs="Calibri"/>
        </w:rPr>
        <w:t>Parents on the whole expressed positive attitudes to the use of antibiotics while expressing awareness of the necessity of antimicrobial stewardship and that antibiotics were not typically useful against viral infections.</w:t>
      </w:r>
    </w:p>
    <w:p w14:paraId="32E3E818" w14:textId="4B477A75" w:rsidR="000F70A3" w:rsidRPr="000F70A3" w:rsidRDefault="000F70A3" w:rsidP="00487BFC">
      <w:pPr>
        <w:pStyle w:val="614TextbulletlistlastTextstylesTextstyles"/>
      </w:pPr>
      <w:r w:rsidRPr="000F70A3">
        <w:t>Some parents were aware that antibiotics can be used prophylactically to prevent rather than treat infection. They were supportive of this approach.</w:t>
      </w:r>
    </w:p>
    <w:p w14:paraId="6C4BAF3E" w14:textId="77777777" w:rsidR="000F70A3" w:rsidRPr="000F70A3" w:rsidRDefault="000F70A3" w:rsidP="00487BFC">
      <w:pPr>
        <w:pStyle w:val="53BheadHeadingsHeadingstyles"/>
      </w:pPr>
      <w:r w:rsidRPr="000F70A3">
        <w:t>Interrelationship with other parts of the Programme</w:t>
      </w:r>
    </w:p>
    <w:p w14:paraId="2E8EC527" w14:textId="77777777" w:rsidR="000F70A3" w:rsidRPr="000F70A3" w:rsidRDefault="000F70A3" w:rsidP="00487BFC">
      <w:pPr>
        <w:pStyle w:val="602TextfoTextstylesTextstyles"/>
      </w:pPr>
      <w:r w:rsidRPr="000F70A3">
        <w:t>This work informs the relevance and acceptability of work carried out as part of work packages c, d &amp; e to a key stakeholder group, in this case parents, including of children at risk from complications of ILI. It also allows issues of concern and interest to parents to be further explored rather than only those of researchers. The participant and patient involvement section (page 48) details parents involvement in the development of trial materials.</w:t>
      </w:r>
    </w:p>
    <w:p w14:paraId="362E24BD" w14:textId="77777777" w:rsidR="000F70A3" w:rsidRPr="000F70A3" w:rsidRDefault="000F70A3" w:rsidP="00487BFC">
      <w:pPr>
        <w:pStyle w:val="52AheadHeadingsHeadingstyles"/>
        <w:rPr>
          <w:rFonts w:eastAsia="DengXian Light"/>
        </w:rPr>
      </w:pPr>
      <w:bookmarkStart w:id="21" w:name="_Toc61506834"/>
      <w:bookmarkStart w:id="22" w:name="_Toc106099128"/>
      <w:r w:rsidRPr="000F70A3">
        <w:rPr>
          <w:rFonts w:eastAsia="DengXian Light"/>
        </w:rPr>
        <w:t>Addressing Objective 5: To determine the effectiveness of early co-amoxiclav use in at risk children with influenza/ILI</w:t>
      </w:r>
      <w:bookmarkEnd w:id="21"/>
      <w:bookmarkEnd w:id="22"/>
    </w:p>
    <w:p w14:paraId="234429A6" w14:textId="77777777" w:rsidR="000F70A3" w:rsidRPr="000F70A3" w:rsidRDefault="000F70A3" w:rsidP="00487BFC">
      <w:pPr>
        <w:pStyle w:val="602TextfoTextstylesTextstyles"/>
      </w:pPr>
      <w:r w:rsidRPr="000F70A3">
        <w:t>Some text in this section has been adapted with permission of the ERS 2022: European Respiratory Journal 2021 58: 2002819; DOI: 10.1183/13993003.02819</w:t>
      </w:r>
      <w:r w:rsidRPr="000F70A3">
        <w:rPr>
          <w:color w:val="00B0F0"/>
        </w:rPr>
        <w:t>–2</w:t>
      </w:r>
      <w:r w:rsidRPr="000F70A3">
        <w:t>020.</w:t>
      </w:r>
      <w:r w:rsidRPr="000F70A3">
        <w:rPr>
          <w:noProof/>
          <w:vertAlign w:val="superscript"/>
        </w:rPr>
        <w:t>1</w:t>
      </w:r>
      <w:r w:rsidRPr="000F70A3">
        <w:t xml:space="preserve"> The text below includes minor additions and formatting changes to the original text.</w:t>
      </w:r>
    </w:p>
    <w:p w14:paraId="08FE879F" w14:textId="77777777" w:rsidR="000F70A3" w:rsidRPr="000F70A3" w:rsidRDefault="000F70A3" w:rsidP="00487BFC">
      <w:pPr>
        <w:pStyle w:val="602TextfoTextstylesTextstyles"/>
      </w:pPr>
      <w:r w:rsidRPr="000F70A3">
        <w:t>The UK government stockpiles co-amoxiclav for treating bacterial complications during influenza pandemics as consistently high susceptibility to co-amoxiclav has been demonstrated in lower respiratory tract bacterial isolates associated with influenza. Immediate antibiotic treatment is recommended for RTIs in individuals with significant underlying disease</w:t>
      </w:r>
      <w:r w:rsidRPr="000F70A3">
        <w:rPr>
          <w:noProof/>
          <w:vertAlign w:val="superscript"/>
        </w:rPr>
        <w:t>22</w:t>
      </w:r>
      <w:r w:rsidRPr="000F70A3">
        <w:rPr>
          <w:noProof/>
          <w:color w:val="00B0F0"/>
          <w:vertAlign w:val="superscript"/>
        </w:rPr>
        <w:t>–2</w:t>
      </w:r>
      <w:r w:rsidRPr="000F70A3">
        <w:rPr>
          <w:noProof/>
          <w:vertAlign w:val="superscript"/>
        </w:rPr>
        <w:t>5</w:t>
      </w:r>
      <w:r w:rsidRPr="000F70A3">
        <w:t xml:space="preserve"> but general practitioners report considerable uncertainty about prescribing antibiotics to children with mild or moderate risk factors</w:t>
      </w:r>
      <w:r w:rsidRPr="000F70A3">
        <w:rPr>
          <w:noProof/>
          <w:vertAlign w:val="superscript"/>
        </w:rPr>
        <w:t>37</w:t>
      </w:r>
      <w:r w:rsidRPr="000F70A3">
        <w:t xml:space="preserve"> To assist in </w:t>
      </w:r>
      <w:r w:rsidRPr="000F70A3">
        <w:rPr>
          <w:color w:val="00B0F0"/>
        </w:rPr>
        <w:t>decision-mak</w:t>
      </w:r>
      <w:r w:rsidRPr="000F70A3">
        <w:t xml:space="preserve">ing surrounding appropriate use of antibiotics in this cohort of children we conducted a double blind randomised placebo-controlled trial, ARCHIE: The early use of Antibiotics for </w:t>
      </w:r>
      <w:r w:rsidRPr="000F70A3">
        <w:rPr>
          <w:color w:val="00B0F0"/>
        </w:rPr>
        <w:t>‘</w:t>
      </w:r>
      <w:r w:rsidRPr="000F70A3">
        <w:t>at Risk</w:t>
      </w:r>
      <w:r w:rsidRPr="000F70A3">
        <w:rPr>
          <w:color w:val="00B0F0"/>
        </w:rPr>
        <w:t>’</w:t>
      </w:r>
      <w:r w:rsidRPr="000F70A3">
        <w:t xml:space="preserve"> CHildren with InfluEnza-like illness. ARCHIE aimed to determine the effectiveness of early co-amoxiclav use in </w:t>
      </w:r>
      <w:r w:rsidRPr="000F70A3">
        <w:rPr>
          <w:color w:val="00B0F0"/>
        </w:rPr>
        <w:t>‘</w:t>
      </w:r>
      <w:r w:rsidRPr="000F70A3">
        <w:t>at risk</w:t>
      </w:r>
      <w:r w:rsidRPr="000F70A3">
        <w:rPr>
          <w:color w:val="00B0F0"/>
        </w:rPr>
        <w:t>’</w:t>
      </w:r>
      <w:r w:rsidRPr="000F70A3">
        <w:t xml:space="preserve"> children with influenza-like illness (ILI).</w:t>
      </w:r>
    </w:p>
    <w:p w14:paraId="27A588B9" w14:textId="77777777" w:rsidR="000F70A3" w:rsidRPr="000F70A3" w:rsidRDefault="000F70A3" w:rsidP="00487BFC">
      <w:pPr>
        <w:pStyle w:val="602TextfoTextstylesTextstyles"/>
        <w:rPr>
          <w:color w:val="0563C1"/>
          <w:u w:val="single"/>
        </w:rPr>
      </w:pPr>
      <w:r w:rsidRPr="000F70A3">
        <w:t>The trial protocol has been published as Wang K, Carver T, Tonner S,</w:t>
      </w:r>
      <w:r w:rsidRPr="000F70A3">
        <w:rPr>
          <w:i/>
          <w:color w:val="00B0F0"/>
        </w:rPr>
        <w:t xml:space="preserve"> et al</w:t>
      </w:r>
      <w:r w:rsidRPr="000F70A3">
        <w:t xml:space="preserve"> Early use of Antibiotics for at Risk CHildren with InfluEnza (ARCHIE): protocol for a double-blind, randomised, placebo-controlled trial </w:t>
      </w:r>
      <w:r w:rsidRPr="000F70A3">
        <w:rPr>
          <w:i/>
        </w:rPr>
        <w:t>BMJ Open</w:t>
      </w:r>
      <w:r w:rsidRPr="000F70A3">
        <w:t xml:space="preserve"> 2018;8:e021144. DOI: http://dx.doi.org/10.1136/bmjopen-2017-021144</w:t>
      </w:r>
    </w:p>
    <w:p w14:paraId="147AF042" w14:textId="77777777" w:rsidR="000F70A3" w:rsidRPr="000F70A3" w:rsidRDefault="000F70A3" w:rsidP="00487BFC">
      <w:pPr>
        <w:pStyle w:val="602TextfoTextstylesTextstyles"/>
      </w:pPr>
      <w:r w:rsidRPr="000F70A3">
        <w:t>The trial main results have been published as Wang K, Semple MG, Moore M</w:t>
      </w:r>
      <w:r w:rsidRPr="000F70A3">
        <w:rPr>
          <w:i/>
          <w:color w:val="00B0F0"/>
        </w:rPr>
        <w:t xml:space="preserve"> et al</w:t>
      </w:r>
      <w:r w:rsidRPr="000F70A3">
        <w:t xml:space="preserve"> The early use of Antibiotics for at Risk CHildren with InfluEnza-like illness (ARCHIE): a double-blind randomised placebo-controlled trial. The author accepted manuscript is available by open access via the </w:t>
      </w:r>
      <w:r w:rsidRPr="000F70A3">
        <w:rPr>
          <w:i/>
        </w:rPr>
        <w:t xml:space="preserve">Oxford University Research Archive </w:t>
      </w:r>
      <w:r w:rsidRPr="000F70A3">
        <w:t>(https://ora.ox.ac.uk/objects/uuid:e3613733-ecd1-431e-b096-73e5c2446a8f) DOI: http://dx.doi.org/10.1183/13993003.02819-2020</w:t>
      </w:r>
    </w:p>
    <w:p w14:paraId="4B5FDFA7" w14:textId="77777777" w:rsidR="000F70A3" w:rsidRPr="000F70A3" w:rsidRDefault="000F70A3" w:rsidP="00487BFC">
      <w:pPr>
        <w:pStyle w:val="53BheadHeadingsHeadingstyles"/>
      </w:pPr>
      <w:r w:rsidRPr="000F70A3">
        <w:t>Aims</w:t>
      </w:r>
    </w:p>
    <w:p w14:paraId="3813F50B" w14:textId="77777777" w:rsidR="000F70A3" w:rsidRPr="000F70A3" w:rsidRDefault="000F70A3" w:rsidP="00487BFC">
      <w:pPr>
        <w:pStyle w:val="602TextfoTextstylesTextstyles"/>
      </w:pPr>
      <w:r w:rsidRPr="000F70A3">
        <w:t xml:space="preserve">To determine whether early co-amoxiclav use reduces risk of re-consultation </w:t>
      </w:r>
      <w:r w:rsidRPr="000F70A3">
        <w:rPr>
          <w:highlight w:val="magenta"/>
        </w:rPr>
        <w:t>due to</w:t>
      </w:r>
      <w:r w:rsidRPr="000F70A3">
        <w:t xml:space="preserve"> clinical deterioration in </w:t>
      </w:r>
      <w:r w:rsidRPr="000F70A3">
        <w:rPr>
          <w:color w:val="00B0F0"/>
        </w:rPr>
        <w:t>‘</w:t>
      </w:r>
      <w:r w:rsidRPr="000F70A3">
        <w:t>at risk</w:t>
      </w:r>
      <w:r w:rsidRPr="000F70A3">
        <w:rPr>
          <w:color w:val="00B0F0"/>
        </w:rPr>
        <w:t>’</w:t>
      </w:r>
      <w:r w:rsidRPr="000F70A3">
        <w:t xml:space="preserve"> children who present with ILI.</w:t>
      </w:r>
    </w:p>
    <w:p w14:paraId="70AC65A2" w14:textId="77777777" w:rsidR="000F70A3" w:rsidRPr="000F70A3" w:rsidRDefault="000F70A3" w:rsidP="00487BFC">
      <w:pPr>
        <w:pStyle w:val="53BheadHeadingsHeadingstyles"/>
      </w:pPr>
      <w:r w:rsidRPr="000F70A3">
        <w:t>Methods</w:t>
      </w:r>
    </w:p>
    <w:p w14:paraId="20C3F25D" w14:textId="77777777" w:rsidR="000F70A3" w:rsidRPr="000F70A3" w:rsidRDefault="000F70A3" w:rsidP="00487BFC">
      <w:pPr>
        <w:pStyle w:val="602TextfoTextstylesTextstyles"/>
      </w:pPr>
      <w:r w:rsidRPr="000F70A3">
        <w:t xml:space="preserve">Participants were recruited from general practices and other ambulatory care settings in England and Wales. Recruitment began on </w:t>
      </w:r>
      <w:r w:rsidRPr="000F70A3">
        <w:rPr>
          <w:color w:val="00B0F0"/>
        </w:rPr>
        <w:t>11 February 2015.</w:t>
      </w:r>
      <w:r w:rsidRPr="000F70A3">
        <w:t xml:space="preserve"> Subsequent recruitment seasons commenced in October and continued until the end of the following March or later if </w:t>
      </w:r>
      <w:r w:rsidRPr="000F70A3">
        <w:rPr>
          <w:highlight w:val="magenta"/>
        </w:rPr>
        <w:t>data</w:t>
      </w:r>
      <w:r w:rsidRPr="000F70A3">
        <w:t xml:space="preserve"> from the Royal College of General Practitioners (RCGP) Research and Surveillance Centre indicated that the weekly (LI GP consultation rate was still above the baseline seasonal threshold calculated each season using the Moving Epidemic Method. In total, we opened 151 general practices, 42 hospitals and two walk-in centres for recruitment.</w:t>
      </w:r>
    </w:p>
    <w:p w14:paraId="18358CAA" w14:textId="77777777" w:rsidR="000F70A3" w:rsidRPr="000F70A3" w:rsidRDefault="000F70A3" w:rsidP="00487BFC">
      <w:pPr>
        <w:pStyle w:val="602TextfoTextstylesTextstyles"/>
      </w:pPr>
      <w:r w:rsidRPr="000F70A3">
        <w:t xml:space="preserve">We recruited </w:t>
      </w:r>
      <w:r w:rsidRPr="000F70A3">
        <w:rPr>
          <w:color w:val="00B0F0"/>
        </w:rPr>
        <w:t>‘</w:t>
      </w:r>
      <w:r w:rsidRPr="000F70A3">
        <w:t>at risk</w:t>
      </w:r>
      <w:r w:rsidRPr="000F70A3">
        <w:rPr>
          <w:color w:val="00B0F0"/>
        </w:rPr>
        <w:t>’</w:t>
      </w:r>
      <w:r w:rsidRPr="000F70A3">
        <w:t xml:space="preserve"> children with known risk factors for influenza-related complications aged six months to 12 years inclusive who presented within the first five days of ILI onset. </w:t>
      </w:r>
      <w:r w:rsidRPr="000F70A3">
        <w:rPr>
          <w:bCs/>
        </w:rPr>
        <w:t xml:space="preserve">Risk factors included chronic underlying conditions, hospital admission with bronchiolitis, pneumonia or an acute asthma exacerbation within the last year, recurrent viral wheeze, or premature birth in children aged 6 to 23 months. ILI was defined as presence of cough and fever; fever could be child-reported, parent/guardian-reported, or axillary or tympanic temperature </w:t>
      </w:r>
      <w:r w:rsidRPr="000F70A3">
        <w:rPr>
          <w:bCs/>
          <w:color w:val="00B0F0"/>
        </w:rPr>
        <w:t>&gt; 3</w:t>
      </w:r>
      <w:r w:rsidRPr="000F70A3">
        <w:rPr>
          <w:bCs/>
        </w:rPr>
        <w:t>7.</w:t>
      </w:r>
      <w:r w:rsidRPr="000F70A3">
        <w:rPr>
          <w:bCs/>
          <w:color w:val="00B0F0"/>
        </w:rPr>
        <w:t>8 °C</w:t>
      </w:r>
      <w:r w:rsidRPr="000F70A3">
        <w:rPr>
          <w:bCs/>
        </w:rPr>
        <w:t>. We excluded children with known contraindications to co-amoxiclav and children who required immediate antibiotics or hospital admission based on their clinician</w:t>
      </w:r>
      <w:r w:rsidRPr="000F70A3">
        <w:rPr>
          <w:bCs/>
          <w:color w:val="00B0F0"/>
        </w:rPr>
        <w:t>’</w:t>
      </w:r>
      <w:r w:rsidRPr="000F70A3">
        <w:rPr>
          <w:bCs/>
        </w:rPr>
        <w:t>s judgement. We also excluded children who had previously participated in the ARCHIE trial at any time or another medicinal trial within the last 90 days. Children with known cystic fibrosis were excluded because immediate antibiotic treatment of acute respiratory tract infections is recommended in these children.</w:t>
      </w:r>
    </w:p>
    <w:p w14:paraId="5962160C" w14:textId="77777777" w:rsidR="000F70A3" w:rsidRPr="000F70A3" w:rsidRDefault="000F70A3" w:rsidP="00487BFC">
      <w:pPr>
        <w:pStyle w:val="602TextfoTextstylesTextstyles"/>
        <w:rPr>
          <w:bCs/>
        </w:rPr>
      </w:pPr>
      <w:r w:rsidRPr="000F70A3">
        <w:t xml:space="preserve">Participants were randomly assigned (1:1) to receive co-amoxiclav 400/57 (amoxicillin 400 mg as trihydrate and clavulanic acid 57 mg as potassium salt/5 mL when reconstituted with water) or placebo suspension using a validated, web-based randomisation system </w:t>
      </w:r>
      <w:r w:rsidRPr="000F70A3">
        <w:rPr>
          <w:rFonts w:cs="Calibri"/>
        </w:rPr>
        <w:t>(Sortition</w:t>
      </w:r>
      <w:r w:rsidRPr="000F70A3">
        <w:rPr>
          <w:rFonts w:cs="Calibri"/>
          <w:vertAlign w:val="superscript"/>
        </w:rPr>
        <w:t>®</w:t>
      </w:r>
      <w:r w:rsidRPr="000F70A3">
        <w:rPr>
          <w:rFonts w:cs="Calibri"/>
        </w:rPr>
        <w:t>).</w:t>
      </w:r>
      <w:r w:rsidRPr="000F70A3">
        <w:rPr>
          <w:bCs/>
        </w:rPr>
        <w:t xml:space="preserve"> Randomisation was stratified by geographical region and minimised, using a non-deterministic algorithm, for age (6 to 23 months or 2 to 12 years) and seasonal influenza vaccination status (yes or otherwise). The chance of being allocated to the minimising group was set to 80%. Each </w:t>
      </w:r>
      <w:r w:rsidRPr="000F70A3">
        <w:rPr>
          <w:bCs/>
          <w:highlight w:val="magenta"/>
        </w:rPr>
        <w:t>site</w:t>
      </w:r>
      <w:r w:rsidRPr="000F70A3">
        <w:rPr>
          <w:bCs/>
        </w:rPr>
        <w:t xml:space="preserve"> was sent study medication in blocks of eight. Allocations were computer generated using block randomisation (block sizes of two and four) by the trial statistician using Stata version 13.1.</w:t>
      </w:r>
    </w:p>
    <w:p w14:paraId="22F49E5B" w14:textId="77777777" w:rsidR="000F70A3" w:rsidRPr="000F70A3" w:rsidRDefault="000F70A3" w:rsidP="00487BFC">
      <w:pPr>
        <w:pStyle w:val="602TextfoTextstylesTextstyles"/>
      </w:pPr>
      <w:r w:rsidRPr="000F70A3">
        <w:t>Health care professionals, the study team, participants, and parents/guardians were blinded to treatment allocation. Participants were asked to take study medication orally twice daily for five days at the BNF recommended dosage for their age/weight. Nasal swabs were obtained, placed in viral transport medium, and analysed by real-time Polymerase Chain Reaction (PCR) analysis at Alder Hey Children</w:t>
      </w:r>
      <w:r w:rsidRPr="000F70A3">
        <w:rPr>
          <w:color w:val="00B0F0"/>
        </w:rPr>
        <w:t>’</w:t>
      </w:r>
      <w:r w:rsidRPr="000F70A3">
        <w:t>s Hospital to detect influenza and other respiratory viruses.</w:t>
      </w:r>
    </w:p>
    <w:p w14:paraId="1D6BD44A" w14:textId="77777777" w:rsidR="000F70A3" w:rsidRPr="000F70A3" w:rsidRDefault="000F70A3" w:rsidP="00487BFC">
      <w:pPr>
        <w:pStyle w:val="602TextfoTextstylesTextstyles"/>
      </w:pPr>
      <w:r w:rsidRPr="000F70A3">
        <w:t xml:space="preserve">At the baseline visit we collected </w:t>
      </w:r>
      <w:r w:rsidRPr="000F70A3">
        <w:rPr>
          <w:highlight w:val="magenta"/>
        </w:rPr>
        <w:t>data</w:t>
      </w:r>
      <w:r w:rsidRPr="000F70A3">
        <w:t xml:space="preserve"> on age, sex, comorbidities, household smoking status, influenza vaccination status, medications given during the current illness episode, duration of fever, duration of symptoms, heart rate, and respiratory rate.</w:t>
      </w:r>
    </w:p>
    <w:p w14:paraId="4CBBDC72" w14:textId="77777777" w:rsidR="000F70A3" w:rsidRPr="000F70A3" w:rsidRDefault="000F70A3" w:rsidP="00487BFC">
      <w:pPr>
        <w:pStyle w:val="602TextfoTextstylesTextstyles"/>
      </w:pPr>
      <w:r w:rsidRPr="000F70A3">
        <w:t xml:space="preserve">To determine the primary outcome (re-consultation </w:t>
      </w:r>
      <w:r w:rsidRPr="000F70A3">
        <w:rPr>
          <w:highlight w:val="magenta"/>
        </w:rPr>
        <w:t>due to</w:t>
      </w:r>
      <w:r w:rsidRPr="000F70A3">
        <w:t xml:space="preserve"> deterioration) </w:t>
      </w:r>
      <w:r w:rsidRPr="000F70A3">
        <w:rPr>
          <w:highlight w:val="magenta"/>
        </w:rPr>
        <w:t>data</w:t>
      </w:r>
      <w:r w:rsidRPr="000F70A3">
        <w:t xml:space="preserve"> on re-consultations, medication prescriptions, investigations, hospitalisations and deaths within 28 days of randomisation were later extracted from participants</w:t>
      </w:r>
      <w:r w:rsidRPr="000F70A3">
        <w:rPr>
          <w:color w:val="00B0F0"/>
        </w:rPr>
        <w:t>’</w:t>
      </w:r>
      <w:r w:rsidRPr="000F70A3">
        <w:t xml:space="preserve"> medical records. </w:t>
      </w:r>
      <w:r w:rsidRPr="000F70A3">
        <w:rPr>
          <w:highlight w:val="magenta"/>
        </w:rPr>
        <w:t>Data</w:t>
      </w:r>
      <w:r w:rsidRPr="000F70A3">
        <w:t xml:space="preserve"> on medical conditions, regular medications, vaccinations, acute consultations during the 12-month period before randomisation, antibiotic prescriptions during the 3-month period before randomisation were also extracted.</w:t>
      </w:r>
    </w:p>
    <w:p w14:paraId="5E04D8C7" w14:textId="77777777" w:rsidR="000F70A3" w:rsidRPr="000F70A3" w:rsidRDefault="000F70A3" w:rsidP="00487BFC">
      <w:pPr>
        <w:pStyle w:val="602TextfoTextstylesTextstyles"/>
      </w:pPr>
      <w:r w:rsidRPr="000F70A3">
        <w:rPr>
          <w:bCs/>
        </w:rPr>
        <w:t xml:space="preserve">To collect </w:t>
      </w:r>
      <w:r w:rsidRPr="000F70A3">
        <w:rPr>
          <w:bCs/>
          <w:highlight w:val="magenta"/>
        </w:rPr>
        <w:t>data</w:t>
      </w:r>
      <w:r w:rsidRPr="000F70A3">
        <w:rPr>
          <w:bCs/>
        </w:rPr>
        <w:t xml:space="preserve"> on medication adherence, duration of fever and duration of symptoms, </w:t>
      </w:r>
      <w:r w:rsidRPr="000F70A3">
        <w:t xml:space="preserve">parents/guardians were given four one-week diaries to record doses of study medication taken (week 1 diary only), axillary temperature, symptoms and adverse events. Parents/guardians were asked to record </w:t>
      </w:r>
      <w:r w:rsidRPr="000F70A3">
        <w:rPr>
          <w:bCs/>
        </w:rPr>
        <w:t xml:space="preserve">symptom </w:t>
      </w:r>
      <w:r w:rsidRPr="000F70A3">
        <w:rPr>
          <w:bCs/>
          <w:highlight w:val="magenta"/>
        </w:rPr>
        <w:t>data</w:t>
      </w:r>
      <w:r w:rsidRPr="000F70A3">
        <w:rPr>
          <w:bCs/>
        </w:rPr>
        <w:t xml:space="preserve"> daily until the child had recovered but to resume </w:t>
      </w:r>
      <w:r w:rsidRPr="000F70A3">
        <w:rPr>
          <w:bCs/>
          <w:highlight w:val="magenta"/>
        </w:rPr>
        <w:t>data</w:t>
      </w:r>
      <w:r w:rsidRPr="000F70A3">
        <w:rPr>
          <w:bCs/>
        </w:rPr>
        <w:t xml:space="preserve"> collection if symptoms relapsed. Parents/guardians were also asked to record the child</w:t>
      </w:r>
      <w:r w:rsidRPr="000F70A3">
        <w:rPr>
          <w:bCs/>
          <w:color w:val="00B0F0"/>
        </w:rPr>
        <w:t>’</w:t>
      </w:r>
      <w:r w:rsidRPr="000F70A3">
        <w:rPr>
          <w:bCs/>
        </w:rPr>
        <w:t>s temperature daily for 28 days or until it had been below 37.5</w:t>
      </w:r>
      <w:r w:rsidRPr="000F70A3">
        <w:rPr>
          <w:bCs/>
          <w:vertAlign w:val="superscript"/>
        </w:rPr>
        <w:t>○</w:t>
      </w:r>
      <w:r w:rsidRPr="000F70A3">
        <w:rPr>
          <w:bCs/>
        </w:rPr>
        <w:t xml:space="preserve">C for two consecutive days. </w:t>
      </w:r>
      <w:r w:rsidRPr="000F70A3">
        <w:t xml:space="preserve">Health care professionals contacted parents/guardians by telephone one and two weeks after randomisation to collect </w:t>
      </w:r>
      <w:r w:rsidRPr="000F70A3">
        <w:rPr>
          <w:highlight w:val="magenta"/>
        </w:rPr>
        <w:t>data</w:t>
      </w:r>
      <w:r w:rsidRPr="000F70A3">
        <w:t xml:space="preserve"> on adverse events, duration of fever and study medication doses taken in case diary </w:t>
      </w:r>
      <w:r w:rsidRPr="000F70A3">
        <w:rPr>
          <w:highlight w:val="magenta"/>
        </w:rPr>
        <w:t>data</w:t>
      </w:r>
      <w:r w:rsidRPr="000F70A3">
        <w:t xml:space="preserve"> were not provided.</w:t>
      </w:r>
    </w:p>
    <w:p w14:paraId="7AFD428D" w14:textId="77777777" w:rsidR="000F70A3" w:rsidRPr="000F70A3" w:rsidRDefault="000F70A3" w:rsidP="00487BFC">
      <w:pPr>
        <w:pStyle w:val="53BheadHeadingsHeadingstyles"/>
      </w:pPr>
      <w:r w:rsidRPr="000F70A3">
        <w:t>Outcomes</w:t>
      </w:r>
    </w:p>
    <w:p w14:paraId="60EF0984" w14:textId="77777777" w:rsidR="000F70A3" w:rsidRPr="000F70A3" w:rsidRDefault="000F70A3" w:rsidP="00487BFC">
      <w:pPr>
        <w:pStyle w:val="602TextfoTextstylesTextstyles"/>
      </w:pPr>
      <w:r w:rsidRPr="000F70A3">
        <w:t xml:space="preserve">Our primary outcome was re-consultation </w:t>
      </w:r>
      <w:r w:rsidRPr="000F70A3">
        <w:rPr>
          <w:highlight w:val="magenta"/>
        </w:rPr>
        <w:t>due to</w:t>
      </w:r>
      <w:r w:rsidRPr="000F70A3">
        <w:t xml:space="preserve"> clinical deterioration within 28 days of randomisation. We defined clinical deterioration as worsening symptoms, development of new symptoms or development of complications requiring medication or hospitalisation. </w:t>
      </w:r>
      <w:r w:rsidRPr="000F70A3">
        <w:rPr>
          <w:color w:val="00B0F0"/>
        </w:rPr>
        <w:t>‘</w:t>
      </w:r>
      <w:r w:rsidRPr="000F70A3">
        <w:t>Worsening symptoms</w:t>
      </w:r>
      <w:r w:rsidRPr="000F70A3">
        <w:rPr>
          <w:color w:val="00B0F0"/>
        </w:rPr>
        <w:t>’</w:t>
      </w:r>
      <w:r w:rsidRPr="000F70A3">
        <w:t xml:space="preserve"> were identified through documented evidence of deterioration in symptoms reported at the index consultation. </w:t>
      </w:r>
      <w:r w:rsidRPr="000F70A3">
        <w:rPr>
          <w:color w:val="00B0F0"/>
        </w:rPr>
        <w:t>‘</w:t>
      </w:r>
      <w:r w:rsidRPr="000F70A3">
        <w:t>New symptoms</w:t>
      </w:r>
      <w:r w:rsidRPr="000F70A3">
        <w:rPr>
          <w:color w:val="00B0F0"/>
        </w:rPr>
        <w:t>’</w:t>
      </w:r>
      <w:r w:rsidRPr="000F70A3">
        <w:t xml:space="preserve"> included any symptoms not reported at the index consultation. Hospitalisations included hospital admissions following primary care referrals and direct admissions from hospital ambulatory care settings. To ensure accurate recording of clinical outcome </w:t>
      </w:r>
      <w:r w:rsidRPr="000F70A3">
        <w:rPr>
          <w:highlight w:val="magenta"/>
        </w:rPr>
        <w:t>data</w:t>
      </w:r>
      <w:r w:rsidRPr="000F70A3">
        <w:t>, a clinician independent from the study team reviewed a random selection of medical records.</w:t>
      </w:r>
    </w:p>
    <w:p w14:paraId="4D4CF52E" w14:textId="77777777" w:rsidR="000F70A3" w:rsidRPr="000F70A3" w:rsidRDefault="000F70A3" w:rsidP="00487BFC">
      <w:pPr>
        <w:pStyle w:val="602TextfoTextstylesTextstyles"/>
      </w:pPr>
      <w:r w:rsidRPr="000F70A3">
        <w:t>Secondary outcomes were medication prescriptions and/or further investigations, adverse events, hospitalisations or deaths (all within 28 days of randomisation), duration of fever and duration of symptoms. Our protocol did not require recruiting sites to report oral mucocutaneous candidosis (thrush), diarrhoea, nausea, vomiting or rash as adverse events if they were assessed as being of mild or moderate clinical severity and did not result in a serious adverse event, as these are already known common side-effects of co-amoxiclav</w:t>
      </w:r>
    </w:p>
    <w:p w14:paraId="1C66B297" w14:textId="77777777" w:rsidR="000F70A3" w:rsidRPr="000F70A3" w:rsidRDefault="000F70A3" w:rsidP="00487BFC">
      <w:pPr>
        <w:pStyle w:val="53BheadHeadingsHeadingstyles"/>
      </w:pPr>
      <w:r w:rsidRPr="000F70A3">
        <w:t>Analysis</w:t>
      </w:r>
    </w:p>
    <w:p w14:paraId="2ADE0C45" w14:textId="77777777" w:rsidR="000F70A3" w:rsidRPr="000F70A3" w:rsidRDefault="000F70A3" w:rsidP="00487BFC">
      <w:pPr>
        <w:pStyle w:val="602TextfoTextstylesTextstyles"/>
      </w:pPr>
      <w:r w:rsidRPr="000F70A3">
        <w:t xml:space="preserve">Our target sample size was 650 participants, including allowance for 25% loss to follow-up and an inflation factor of 1.041 to allow for potential clustering within recruiting sites </w:t>
      </w:r>
      <w:r w:rsidRPr="000F70A3">
        <w:rPr>
          <w:highlight w:val="magenta"/>
        </w:rPr>
        <w:t>due to</w:t>
      </w:r>
      <w:r w:rsidRPr="000F70A3">
        <w:t xml:space="preserve"> differences in physician care and prescribing rates. This would allow detection of a reduction in the proportion of participants re-consulting </w:t>
      </w:r>
      <w:r w:rsidRPr="000F70A3">
        <w:rPr>
          <w:highlight w:val="magenta"/>
        </w:rPr>
        <w:t>due to</w:t>
      </w:r>
      <w:r w:rsidRPr="000F70A3">
        <w:t xml:space="preserve"> clinical deterioration from 40% to 26% (35% relative risk reduction [RRR]) with 90% power and 5% two-tailed alpha error.</w:t>
      </w:r>
    </w:p>
    <w:p w14:paraId="23897C80" w14:textId="77777777" w:rsidR="000F70A3" w:rsidRPr="000F70A3" w:rsidRDefault="000F70A3" w:rsidP="00487BFC">
      <w:pPr>
        <w:pStyle w:val="602TextfoTextstylesTextstyles"/>
      </w:pPr>
      <w:r w:rsidRPr="000F70A3">
        <w:t>We performed an intention-to-treat analysis and participants were analysed in the groups to which they were allocated.</w:t>
      </w:r>
    </w:p>
    <w:p w14:paraId="6C79EE46" w14:textId="77777777" w:rsidR="000F70A3" w:rsidRPr="000F70A3" w:rsidRDefault="000F70A3" w:rsidP="00487BFC">
      <w:pPr>
        <w:pStyle w:val="602TextfoTextstylesTextstyles"/>
      </w:pPr>
      <w:r w:rsidRPr="000F70A3">
        <w:t xml:space="preserve">The proportions of children re-consulting </w:t>
      </w:r>
      <w:r w:rsidRPr="000F70A3">
        <w:rPr>
          <w:highlight w:val="magenta"/>
        </w:rPr>
        <w:t>due to</w:t>
      </w:r>
      <w:r w:rsidRPr="000F70A3">
        <w:t xml:space="preserve"> clinical deterioration in the two groups was compared using a χ2 test and log-binomial regression model with adjustment for region, age and current seasonal influenza vaccination status. The treatment effect is reported as a relative risk with 95% confidence interval (CI); the P value is also presented. An unadjusted risk difference is also presented with 95% CI.</w:t>
      </w:r>
    </w:p>
    <w:p w14:paraId="1CB6E0FA" w14:textId="77777777" w:rsidR="000F70A3" w:rsidRPr="000F70A3" w:rsidRDefault="000F70A3" w:rsidP="00487BFC">
      <w:pPr>
        <w:pStyle w:val="602TextfoTextstylesTextstyles"/>
      </w:pPr>
      <w:r w:rsidRPr="000F70A3">
        <w:t>Durations of fever and symptoms were compared between groups using the Wilcoxon rank sum test and quantile regression. Analyses performed using quantile regression were adjusted for region, age, and current seasonal influenza vaccination status. Binary outcomes (proportions of children prescribed medication and/or requiring further investigations, children in whom adverse events are reported and children who were hospitalised or died within 28 days of randomisation) were compared using χ</w:t>
      </w:r>
      <w:r w:rsidRPr="000F70A3">
        <w:rPr>
          <w:vertAlign w:val="superscript"/>
        </w:rPr>
        <w:t>2</w:t>
      </w:r>
      <w:r w:rsidRPr="000F70A3">
        <w:t>/Fisher</w:t>
      </w:r>
      <w:r w:rsidRPr="000F70A3">
        <w:rPr>
          <w:color w:val="00B0F0"/>
        </w:rPr>
        <w:t>’</w:t>
      </w:r>
      <w:r w:rsidRPr="000F70A3">
        <w:t>s exact test for the unadjusted analysis and log-binomial regression, adjusting for region, age, and current seasonal influenza vaccination status.</w:t>
      </w:r>
    </w:p>
    <w:p w14:paraId="2EE19FE0" w14:textId="77777777" w:rsidR="000F70A3" w:rsidRPr="000F70A3" w:rsidRDefault="000F70A3" w:rsidP="00487BFC">
      <w:pPr>
        <w:pStyle w:val="602TextfoTextstylesTextstyles"/>
      </w:pPr>
      <w:r w:rsidRPr="000F70A3">
        <w:t>Exploratory subgroup analyses of the primary outcome were pre-specified in the statistical analysis plan to explore whether laboratory-confirmed influenza and treatment with antiviral medications during the index ILI episode moderated the treatment effect.</w:t>
      </w:r>
      <w:r w:rsidRPr="000F70A3">
        <w:rPr>
          <w:color w:val="538135"/>
        </w:rPr>
        <w:t xml:space="preserve"> </w:t>
      </w:r>
      <w:r w:rsidRPr="000F70A3">
        <w:t xml:space="preserve">The log-binomial regression model was fitted on the outcome of re-consultation </w:t>
      </w:r>
      <w:r w:rsidRPr="000F70A3">
        <w:rPr>
          <w:highlight w:val="magenta"/>
        </w:rPr>
        <w:t>due to</w:t>
      </w:r>
      <w:r w:rsidRPr="000F70A3">
        <w:t xml:space="preserve"> clinical deterioration and adjusted for region, age and current seasonal influenza vaccination status with an additional main effect for the subgroup variable and an interaction term for randomised group and subgroup variable.</w:t>
      </w:r>
    </w:p>
    <w:p w14:paraId="20BF320A" w14:textId="77777777" w:rsidR="000F70A3" w:rsidRPr="000F70A3" w:rsidRDefault="000F70A3" w:rsidP="00487BFC">
      <w:pPr>
        <w:pStyle w:val="53BheadHeadingsHeadingstyles"/>
      </w:pPr>
      <w:r w:rsidRPr="000F70A3">
        <w:t>Strength and Limitations</w:t>
      </w:r>
    </w:p>
    <w:p w14:paraId="61EF5F0E" w14:textId="77777777" w:rsidR="000F70A3" w:rsidRPr="000F70A3" w:rsidRDefault="000F70A3" w:rsidP="00487BFC">
      <w:pPr>
        <w:pStyle w:val="602TextfoTextstylesTextstyles"/>
      </w:pPr>
      <w:r w:rsidRPr="000F70A3">
        <w:t xml:space="preserve">A key strength of this work is that it is highly generalisable to community-based health care settings where </w:t>
      </w:r>
      <w:r w:rsidRPr="000F70A3">
        <w:rPr>
          <w:color w:val="00B0F0"/>
        </w:rPr>
        <w:t>‘</w:t>
      </w:r>
      <w:r w:rsidRPr="000F70A3">
        <w:t>at risk</w:t>
      </w:r>
      <w:r w:rsidRPr="000F70A3">
        <w:rPr>
          <w:color w:val="00B0F0"/>
        </w:rPr>
        <w:t>’</w:t>
      </w:r>
      <w:r w:rsidRPr="000F70A3">
        <w:t xml:space="preserve"> children may present with ILI during influenza season </w:t>
      </w:r>
      <w:r w:rsidRPr="000F70A3">
        <w:rPr>
          <w:highlight w:val="magenta"/>
        </w:rPr>
        <w:t>due to</w:t>
      </w:r>
      <w:r w:rsidRPr="000F70A3">
        <w:t xml:space="preserve"> our wide geographical coverage, recruitment from primary and other ambulatory care settings, pragmatic ILI case definition, and high retention rate (265/271) for our primary outcome.</w:t>
      </w:r>
    </w:p>
    <w:p w14:paraId="371E897B" w14:textId="77777777" w:rsidR="000F70A3" w:rsidRPr="000F70A3" w:rsidRDefault="000F70A3" w:rsidP="00487BFC">
      <w:pPr>
        <w:pStyle w:val="602TextfoTextstylesTextstyles"/>
      </w:pPr>
      <w:r w:rsidRPr="000F70A3">
        <w:t xml:space="preserve">Our main limitations were a lower than anticipated proportion of children re-consulting </w:t>
      </w:r>
      <w:r w:rsidRPr="000F70A3">
        <w:rPr>
          <w:highlight w:val="magenta"/>
        </w:rPr>
        <w:t>due to</w:t>
      </w:r>
      <w:r w:rsidRPr="000F70A3">
        <w:t xml:space="preserve"> clinical deterioration, failure to reach our recruitment target of 650 participants and a low proportion of participants testing positive for influenza with seasonal influenza activity being comparatively low during the years of trial recruitment.</w:t>
      </w:r>
      <w:r w:rsidRPr="000F70A3">
        <w:rPr>
          <w:noProof/>
          <w:vertAlign w:val="superscript"/>
        </w:rPr>
        <w:t>383940</w:t>
      </w:r>
      <w:r w:rsidRPr="000F70A3">
        <w:t xml:space="preserve"> Our subgroup of participants with laboratory-confirmed influenza therefore did not have sufficient statistical power to allow us to determine whether early co-amoxiclav treatment is beneficial in these children.</w:t>
      </w:r>
    </w:p>
    <w:p w14:paraId="298D1504" w14:textId="77777777" w:rsidR="000F70A3" w:rsidRPr="000F70A3" w:rsidRDefault="000F70A3" w:rsidP="00487BFC">
      <w:pPr>
        <w:pStyle w:val="602TextfoTextstylesTextstyles"/>
      </w:pPr>
      <w:r w:rsidRPr="000F70A3">
        <w:t xml:space="preserve">We were only able to obtain </w:t>
      </w:r>
      <w:r w:rsidRPr="000F70A3">
        <w:rPr>
          <w:highlight w:val="magenta"/>
        </w:rPr>
        <w:t>data</w:t>
      </w:r>
      <w:r w:rsidRPr="000F70A3">
        <w:t xml:space="preserve"> on medication adherence from 184/271 participants (co-amoxiclav: 95/136, 70%; placebo: 89/135, 66%). We were also only able to analyse diary </w:t>
      </w:r>
      <w:r w:rsidRPr="000F70A3">
        <w:rPr>
          <w:highlight w:val="magenta"/>
        </w:rPr>
        <w:t>data</w:t>
      </w:r>
      <w:r w:rsidRPr="000F70A3">
        <w:t xml:space="preserve"> on duration of fever or other symptoms in around half of children. These findings should therefore be interpreted with caution.</w:t>
      </w:r>
    </w:p>
    <w:p w14:paraId="246C126C" w14:textId="77777777" w:rsidR="000F70A3" w:rsidRPr="000F70A3" w:rsidRDefault="000F70A3" w:rsidP="00487BFC">
      <w:pPr>
        <w:pStyle w:val="53BheadHeadingsHeadingstyles"/>
      </w:pPr>
      <w:r w:rsidRPr="000F70A3">
        <w:t>Key Findings</w:t>
      </w:r>
    </w:p>
    <w:p w14:paraId="610B7626" w14:textId="19BA2A3C" w:rsidR="000F70A3" w:rsidRPr="000F70A3" w:rsidRDefault="000F70A3" w:rsidP="00487BFC">
      <w:pPr>
        <w:pStyle w:val="611BulletlistTextstyles"/>
        <w:rPr>
          <w:rFonts w:ascii="Calibri" w:hAnsi="Calibri" w:cs="Calibri"/>
        </w:rPr>
      </w:pPr>
      <w:r w:rsidRPr="000F70A3">
        <w:rPr>
          <w:i/>
          <w:color w:val="FF0000"/>
        </w:rPr>
        <w:t>Figure 2</w:t>
      </w:r>
      <w:r w:rsidRPr="000F70A3">
        <w:t xml:space="preserve"> (p36) summarises recruitment and follow-up of participants. Between February 11 2015 and April 20 2018 we screened 756 children for eligibility and randomised 271 eligible children whose parent/guardian consented to their participation (co-amoxiclav </w:t>
      </w:r>
      <w:r w:rsidRPr="000F70A3">
        <w:rPr>
          <w:i/>
          <w:color w:val="00B0F0"/>
        </w:rPr>
        <w:t xml:space="preserve">n = </w:t>
      </w:r>
      <w:r w:rsidRPr="000F70A3">
        <w:t xml:space="preserve">136, placebo </w:t>
      </w:r>
      <w:r w:rsidRPr="000F70A3">
        <w:rPr>
          <w:i/>
          <w:color w:val="00B0F0"/>
        </w:rPr>
        <w:t xml:space="preserve">n = </w:t>
      </w:r>
      <w:r w:rsidRPr="000F70A3">
        <w:t xml:space="preserve">135). </w:t>
      </w:r>
      <w:r w:rsidRPr="000F70A3">
        <w:rPr>
          <w:rFonts w:ascii="Calibri" w:hAnsi="Calibri" w:cs="Calibri"/>
        </w:rPr>
        <w:t xml:space="preserve">Primary outcome </w:t>
      </w:r>
      <w:r w:rsidRPr="000F70A3">
        <w:rPr>
          <w:rFonts w:ascii="Calibri" w:hAnsi="Calibri" w:cs="Calibri"/>
          <w:highlight w:val="magenta"/>
        </w:rPr>
        <w:t>data</w:t>
      </w:r>
      <w:r w:rsidRPr="000F70A3">
        <w:rPr>
          <w:rFonts w:ascii="Calibri" w:hAnsi="Calibri" w:cs="Calibri"/>
        </w:rPr>
        <w:t xml:space="preserve"> were available for 265 participants (co-amoxiclav </w:t>
      </w:r>
      <w:r w:rsidRPr="000F70A3">
        <w:rPr>
          <w:rFonts w:ascii="Calibri" w:hAnsi="Calibri" w:cs="Calibri"/>
          <w:i/>
          <w:color w:val="00B0F0"/>
        </w:rPr>
        <w:t xml:space="preserve">n = </w:t>
      </w:r>
      <w:r w:rsidRPr="000F70A3">
        <w:rPr>
          <w:rFonts w:ascii="Calibri" w:hAnsi="Calibri" w:cs="Calibri"/>
        </w:rPr>
        <w:t xml:space="preserve">133, placebo </w:t>
      </w:r>
      <w:r w:rsidRPr="000F70A3">
        <w:rPr>
          <w:rFonts w:ascii="Calibri" w:hAnsi="Calibri" w:cs="Calibri"/>
          <w:i/>
          <w:color w:val="00B0F0"/>
        </w:rPr>
        <w:t xml:space="preserve">n = </w:t>
      </w:r>
      <w:r w:rsidRPr="000F70A3">
        <w:rPr>
          <w:rFonts w:ascii="Calibri" w:hAnsi="Calibri" w:cs="Calibri"/>
        </w:rPr>
        <w:t>132).</w:t>
      </w:r>
    </w:p>
    <w:p w14:paraId="0FC0837F" w14:textId="0D57ADB3" w:rsidR="000F70A3" w:rsidRPr="000F70A3" w:rsidRDefault="000F70A3" w:rsidP="00487BFC">
      <w:pPr>
        <w:pStyle w:val="611BulletlistTextstyles"/>
      </w:pPr>
      <w:r w:rsidRPr="000F70A3">
        <w:t>Nearly three-quarters of risk factors were in the respiratory category (198/271 participants, 73.1%), most commonly asthma (</w:t>
      </w:r>
      <w:r w:rsidRPr="000F70A3">
        <w:rPr>
          <w:i/>
          <w:color w:val="00B0F0"/>
        </w:rPr>
        <w:t xml:space="preserve">n = </w:t>
      </w:r>
      <w:r w:rsidRPr="000F70A3">
        <w:t>99) and recurrent viral wheeze (</w:t>
      </w:r>
      <w:r w:rsidRPr="000F70A3">
        <w:rPr>
          <w:i/>
          <w:color w:val="00B0F0"/>
        </w:rPr>
        <w:t xml:space="preserve">n = </w:t>
      </w:r>
      <w:r w:rsidRPr="000F70A3">
        <w:t xml:space="preserve">70). Around one-third of participants received the influenza vaccination relating to the season during which they were recruited. Laboratory-confirmed influenza was detected in 37/271 children (13.7%). However, rhino/enteroviruses were more commonly isolated (119/271 children, 43.9%). Throat swabs were obtained from 225 participants (co-amoxiclav </w:t>
      </w:r>
      <w:r w:rsidRPr="000F70A3">
        <w:rPr>
          <w:i/>
          <w:color w:val="00B0F0"/>
        </w:rPr>
        <w:t xml:space="preserve">n = </w:t>
      </w:r>
      <w:r w:rsidRPr="000F70A3">
        <w:t xml:space="preserve">114, placebo </w:t>
      </w:r>
      <w:r w:rsidRPr="000F70A3">
        <w:rPr>
          <w:i/>
          <w:color w:val="00B0F0"/>
        </w:rPr>
        <w:t xml:space="preserve">n = </w:t>
      </w:r>
      <w:r w:rsidRPr="000F70A3">
        <w:t xml:space="preserve">111). The commonest bacterial isolate was </w:t>
      </w:r>
      <w:r w:rsidRPr="000F70A3">
        <w:rPr>
          <w:i/>
        </w:rPr>
        <w:t>Haemophilus influenzae</w:t>
      </w:r>
      <w:r w:rsidRPr="000F70A3">
        <w:t>, which was detected in 52/225 throat swabs (23.1%) and 13/37 participants with laboratory-confirmed influenza (35.1%).</w:t>
      </w:r>
    </w:p>
    <w:p w14:paraId="678163FE" w14:textId="0448DD91" w:rsidR="000F70A3" w:rsidRPr="000F70A3" w:rsidRDefault="000F70A3" w:rsidP="00487BFC">
      <w:pPr>
        <w:pStyle w:val="611BulletlistTextstyles"/>
        <w:rPr>
          <w:rFonts w:ascii="Calibri" w:hAnsi="Calibri" w:cs="Calibri"/>
        </w:rPr>
      </w:pPr>
      <w:r w:rsidRPr="000F70A3">
        <w:rPr>
          <w:rFonts w:ascii="Calibri" w:hAnsi="Calibri" w:cs="Calibri"/>
          <w:i/>
          <w:color w:val="FF0000"/>
        </w:rPr>
        <w:t>Figure 3</w:t>
      </w:r>
      <w:r w:rsidRPr="000F70A3">
        <w:rPr>
          <w:rFonts w:ascii="Calibri" w:hAnsi="Calibri" w:cs="Calibri"/>
        </w:rPr>
        <w:t xml:space="preserve"> (p37) summarises re-consultations </w:t>
      </w:r>
      <w:r w:rsidRPr="000F70A3">
        <w:rPr>
          <w:rFonts w:ascii="Calibri" w:hAnsi="Calibri" w:cs="Calibri"/>
          <w:highlight w:val="magenta"/>
        </w:rPr>
        <w:t>due to</w:t>
      </w:r>
      <w:r w:rsidRPr="000F70A3">
        <w:rPr>
          <w:rFonts w:ascii="Calibri" w:hAnsi="Calibri" w:cs="Calibri"/>
        </w:rPr>
        <w:t xml:space="preserve"> clinical deterioration within 28 days of randomisation. At least one re-consultation was recorded in 33/133 children randomised to co-amoxiclav (24.8%) and 28/132 children randomised to placebo (21.2%). There was no evidence of a difference in clinical deterioration between groups after adjustment for stratification and minimisation factors (adjusted risk ratio [RR] 1.16, 95% confidence interval [CI] 0.75 to 1.80; unadjusted RR 1.17, 95% CI 0.75 to 1.82, unadjusted risk difference 3.6%, 95% CI </w:t>
      </w:r>
      <w:r w:rsidRPr="000F70A3">
        <w:rPr>
          <w:rFonts w:ascii="Calibri" w:hAnsi="Calibri" w:cs="Calibri"/>
          <w:color w:val="00B0F0"/>
        </w:rPr>
        <w:t>–6</w:t>
      </w:r>
      <w:r w:rsidRPr="000F70A3">
        <w:rPr>
          <w:rFonts w:ascii="Calibri" w:hAnsi="Calibri" w:cs="Calibri"/>
        </w:rPr>
        <w:t>.5% to 13.7%). No adjustment for clustering was performed because the average cluster size was only 1.4 (271 participants from 195 sites). No statistically significant differences were observed in proportions of children requiring medication or further investigations, or hospitalisation (</w:t>
      </w:r>
      <w:r w:rsidRPr="000F70A3">
        <w:rPr>
          <w:rFonts w:ascii="Calibri" w:hAnsi="Calibri" w:cs="Calibri"/>
          <w:i/>
          <w:color w:val="FF0000"/>
        </w:rPr>
        <w:t>Figure 2</w:t>
      </w:r>
      <w:r w:rsidRPr="000F70A3">
        <w:rPr>
          <w:rFonts w:ascii="Calibri" w:hAnsi="Calibri" w:cs="Calibri"/>
        </w:rPr>
        <w:t xml:space="preserve"> p36). No deaths were recorded.</w:t>
      </w:r>
    </w:p>
    <w:p w14:paraId="69E604B3" w14:textId="4615A46D" w:rsidR="000F70A3" w:rsidRPr="000F70A3" w:rsidRDefault="000F70A3" w:rsidP="00487BFC">
      <w:pPr>
        <w:pStyle w:val="611BulletlistTextstyles"/>
        <w:rPr>
          <w:rFonts w:ascii="Calibri" w:hAnsi="Calibri" w:cs="Calibri"/>
        </w:rPr>
      </w:pPr>
      <w:r w:rsidRPr="000F70A3">
        <w:rPr>
          <w:rFonts w:ascii="Calibri" w:hAnsi="Calibri" w:cs="Calibri"/>
        </w:rPr>
        <w:t xml:space="preserve">In total </w:t>
      </w:r>
      <w:r w:rsidRPr="000F70A3">
        <w:rPr>
          <w:rFonts w:ascii="Calibri" w:hAnsi="Calibri" w:cs="Calibri"/>
          <w:highlight w:val="magenta"/>
        </w:rPr>
        <w:t>data</w:t>
      </w:r>
      <w:r w:rsidRPr="000F70A3">
        <w:rPr>
          <w:rFonts w:ascii="Calibri" w:hAnsi="Calibri" w:cs="Calibri"/>
        </w:rPr>
        <w:t xml:space="preserve"> on duration of fever were available for 136 participants (co-amoxiclav </w:t>
      </w:r>
      <w:r w:rsidRPr="000F70A3">
        <w:rPr>
          <w:rFonts w:ascii="Calibri" w:hAnsi="Calibri" w:cs="Calibri"/>
          <w:i/>
          <w:color w:val="00B0F0"/>
        </w:rPr>
        <w:t xml:space="preserve">n = </w:t>
      </w:r>
      <w:r w:rsidRPr="000F70A3">
        <w:rPr>
          <w:rFonts w:ascii="Calibri" w:hAnsi="Calibri" w:cs="Calibri"/>
        </w:rPr>
        <w:t xml:space="preserve">71, placebo </w:t>
      </w:r>
      <w:r w:rsidRPr="000F70A3">
        <w:rPr>
          <w:rFonts w:ascii="Calibri" w:hAnsi="Calibri" w:cs="Calibri"/>
          <w:i/>
          <w:color w:val="00B0F0"/>
        </w:rPr>
        <w:t xml:space="preserve">n = </w:t>
      </w:r>
      <w:r w:rsidRPr="000F70A3">
        <w:rPr>
          <w:rFonts w:ascii="Calibri" w:hAnsi="Calibri" w:cs="Calibri"/>
        </w:rPr>
        <w:t xml:space="preserve">65) and </w:t>
      </w:r>
      <w:r w:rsidRPr="000F70A3">
        <w:rPr>
          <w:rFonts w:ascii="Calibri" w:hAnsi="Calibri" w:cs="Calibri"/>
          <w:highlight w:val="magenta"/>
        </w:rPr>
        <w:t>data</w:t>
      </w:r>
      <w:r w:rsidRPr="000F70A3">
        <w:rPr>
          <w:rFonts w:ascii="Calibri" w:hAnsi="Calibri" w:cs="Calibri"/>
        </w:rPr>
        <w:t xml:space="preserve"> on duration of symptoms were available for 134 participants (co-amoxiclav </w:t>
      </w:r>
      <w:r w:rsidRPr="000F70A3">
        <w:rPr>
          <w:rFonts w:ascii="Calibri" w:hAnsi="Calibri" w:cs="Calibri"/>
          <w:i/>
          <w:color w:val="00B0F0"/>
        </w:rPr>
        <w:t xml:space="preserve">n = </w:t>
      </w:r>
      <w:r w:rsidRPr="000F70A3">
        <w:rPr>
          <w:rFonts w:ascii="Calibri" w:hAnsi="Calibri" w:cs="Calibri"/>
        </w:rPr>
        <w:t xml:space="preserve">63, placebo </w:t>
      </w:r>
      <w:r w:rsidRPr="000F70A3">
        <w:rPr>
          <w:rFonts w:ascii="Calibri" w:hAnsi="Calibri" w:cs="Calibri"/>
          <w:i/>
          <w:color w:val="00B0F0"/>
        </w:rPr>
        <w:t xml:space="preserve">n = </w:t>
      </w:r>
      <w:r w:rsidRPr="000F70A3">
        <w:rPr>
          <w:rFonts w:ascii="Calibri" w:hAnsi="Calibri" w:cs="Calibri"/>
        </w:rPr>
        <w:t>71). Analyses performed using the</w:t>
      </w:r>
      <w:r w:rsidRPr="000F70A3">
        <w:rPr>
          <w:bCs/>
        </w:rPr>
        <w:t xml:space="preserve"> </w:t>
      </w:r>
      <w:r w:rsidRPr="000F70A3">
        <w:rPr>
          <w:rFonts w:ascii="Calibri" w:hAnsi="Calibri" w:cs="Calibri"/>
          <w:bCs/>
        </w:rPr>
        <w:t>Wilcoxon rank sum test</w:t>
      </w:r>
      <w:r w:rsidRPr="000F70A3">
        <w:rPr>
          <w:rFonts w:ascii="Calibri" w:hAnsi="Calibri" w:cs="Calibri"/>
        </w:rPr>
        <w:t xml:space="preserve"> found that median duration of disturbed sleep was significantly shorter in children who received co-amoxiclav versus placebo (co-amoxiclav: median 4 days, interquartile range [IQR] 2 to 6 days; placebo: median 7 days, IQR 3 to 11 days; P = 0.021). </w:t>
      </w:r>
      <w:r w:rsidRPr="000F70A3">
        <w:t>However, quantile regression analyses</w:t>
      </w:r>
      <w:r w:rsidRPr="000F70A3">
        <w:rPr>
          <w:rFonts w:ascii="Calibri" w:hAnsi="Calibri" w:cs="Calibri"/>
        </w:rPr>
        <w:t xml:space="preserve"> adjusted </w:t>
      </w:r>
      <w:r w:rsidRPr="000F70A3">
        <w:rPr>
          <w:rFonts w:ascii="Calibri" w:hAnsi="Calibri" w:cs="Calibri"/>
          <w:lang w:eastAsia="en-GB"/>
        </w:rPr>
        <w:t xml:space="preserve">for </w:t>
      </w:r>
      <w:r w:rsidRPr="000F70A3">
        <w:rPr>
          <w:rFonts w:ascii="Calibri" w:hAnsi="Calibri" w:cs="Calibri"/>
        </w:rPr>
        <w:t xml:space="preserve">region, age and current seasonal influenza vaccination status found that duration of shortness of breath was significantly shorter in the co-amoxiclav group (adjusted median difference [days] </w:t>
      </w:r>
      <w:r w:rsidRPr="000F70A3">
        <w:rPr>
          <w:rFonts w:ascii="Calibri" w:hAnsi="Calibri" w:cs="Calibri"/>
          <w:color w:val="00B0F0"/>
        </w:rPr>
        <w:t>–2</w:t>
      </w:r>
      <w:r w:rsidRPr="000F70A3">
        <w:rPr>
          <w:rFonts w:ascii="Calibri" w:hAnsi="Calibri" w:cs="Calibri"/>
        </w:rPr>
        <w:t xml:space="preserve">.00, 95% confidence interval </w:t>
      </w:r>
      <w:r w:rsidRPr="000F70A3">
        <w:rPr>
          <w:rFonts w:ascii="Calibri" w:hAnsi="Calibri" w:cs="Calibri"/>
          <w:color w:val="00B0F0"/>
        </w:rPr>
        <w:t>–3</w:t>
      </w:r>
      <w:r w:rsidRPr="000F70A3">
        <w:rPr>
          <w:rFonts w:ascii="Calibri" w:hAnsi="Calibri" w:cs="Calibri"/>
        </w:rPr>
        <w:t xml:space="preserve">.89 to </w:t>
      </w:r>
      <w:r w:rsidRPr="000F70A3">
        <w:rPr>
          <w:rFonts w:ascii="Calibri" w:hAnsi="Calibri" w:cs="Calibri"/>
          <w:color w:val="00B0F0"/>
        </w:rPr>
        <w:t>–0</w:t>
      </w:r>
      <w:r w:rsidRPr="000F70A3">
        <w:rPr>
          <w:rFonts w:ascii="Calibri" w:hAnsi="Calibri" w:cs="Calibri"/>
        </w:rPr>
        <w:t>.11, P = 0.038). No evidence of differences between groups was found for other symptoms or fever.</w:t>
      </w:r>
    </w:p>
    <w:p w14:paraId="384F49C7" w14:textId="15414CE5" w:rsidR="000F70A3" w:rsidRPr="000F70A3" w:rsidRDefault="000F70A3" w:rsidP="00487BFC">
      <w:pPr>
        <w:pStyle w:val="611BulletlistTextstyles"/>
      </w:pPr>
      <w:r w:rsidRPr="000F70A3">
        <w:t xml:space="preserve">One or more adverse events were reported in 32/136 children in the co-amoxiclav group (24%) and 22/135 children in the placebo group (16%). Thirty-seven adverse events were reported in the co-amoxiclav group and 29 in the placebo group. Only 12 adverse events were reported as being possibly related to study medication (co-amoxiclav </w:t>
      </w:r>
      <w:r w:rsidRPr="000F70A3">
        <w:rPr>
          <w:i/>
          <w:color w:val="00B0F0"/>
        </w:rPr>
        <w:t xml:space="preserve">n = </w:t>
      </w:r>
      <w:r w:rsidRPr="000F70A3">
        <w:t xml:space="preserve">5, placebo </w:t>
      </w:r>
      <w:r w:rsidRPr="000F70A3">
        <w:rPr>
          <w:i/>
          <w:color w:val="00B0F0"/>
        </w:rPr>
        <w:t xml:space="preserve">n = </w:t>
      </w:r>
      <w:r w:rsidRPr="000F70A3">
        <w:t xml:space="preserve">7) and three as being probably related to study medication (co-amoxiclav </w:t>
      </w:r>
      <w:r w:rsidRPr="000F70A3">
        <w:rPr>
          <w:i/>
          <w:color w:val="00B0F0"/>
        </w:rPr>
        <w:t xml:space="preserve">n = </w:t>
      </w:r>
      <w:r w:rsidRPr="000F70A3">
        <w:t xml:space="preserve">2, placebo </w:t>
      </w:r>
      <w:r w:rsidRPr="000F70A3">
        <w:rPr>
          <w:i/>
          <w:color w:val="00B0F0"/>
        </w:rPr>
        <w:t xml:space="preserve">n = </w:t>
      </w:r>
      <w:r w:rsidRPr="000F70A3">
        <w:t>1). The most commonly reported adverse events were skin complaints and respiratory tract infections (RTIs) considered to be separate from the index ILI episode. Nine serious adverse events were reported in each group, none of which were considered related to study medication.</w:t>
      </w:r>
    </w:p>
    <w:p w14:paraId="54CE2FB5" w14:textId="6FADE67B" w:rsidR="000F70A3" w:rsidRPr="000F70A3" w:rsidRDefault="000F70A3" w:rsidP="00487BFC">
      <w:pPr>
        <w:pStyle w:val="614TextbulletlistlastTextstylesTextstyles"/>
      </w:pPr>
      <w:r w:rsidRPr="000F70A3">
        <w:t xml:space="preserve">Our pre-specified subgroup analysis in children with laboratory-confirmed influenza found that the proportion of children who re-consulted </w:t>
      </w:r>
      <w:r w:rsidRPr="000F70A3">
        <w:rPr>
          <w:highlight w:val="magenta"/>
        </w:rPr>
        <w:t>due to</w:t>
      </w:r>
      <w:r w:rsidRPr="000F70A3">
        <w:t xml:space="preserve"> clinical deterioration was lower in the co-amoxiclav group (5/21, 23.8%) than in the placebo group (6/16, 37.5%). However, no statistically significant difference was demonstrated and there was no evidence of an interaction between treatment arm and laboratory-confirmed influenza status (P = 0.241). We did not perform our planned subgroup analysis in children who had been prescribed antiviral medication at or before their baseline visit, as no participants received antivirals.</w:t>
      </w:r>
    </w:p>
    <w:p w14:paraId="0509197C" w14:textId="74D0609E" w:rsidR="000F70A3" w:rsidRPr="000F70A3" w:rsidRDefault="00487BFC" w:rsidP="000F70A3">
      <w:pPr>
        <w:pStyle w:val="81FigurelegendTableFigureBoxstyles"/>
      </w:pPr>
      <w:r w:rsidRPr="00487BFC">
        <w:rPr>
          <w:b/>
        </w:rPr>
        <w:t>FIGURE 2</w:t>
      </w:r>
      <w:r w:rsidRPr="00487BFC">
        <w:rPr>
          <w:b/>
        </w:rPr>
        <w:t> </w:t>
      </w:r>
      <w:r w:rsidR="000F70A3" w:rsidRPr="000F70A3">
        <w:t>Participant recruitment and follow-up</w:t>
      </w:r>
    </w:p>
    <w:p w14:paraId="49235EA5" w14:textId="425C19F1" w:rsidR="000F70A3" w:rsidRPr="000F70A3" w:rsidRDefault="00487BFC" w:rsidP="000F70A3">
      <w:pPr>
        <w:pStyle w:val="81FigurelegendTableFigureBoxstyles"/>
      </w:pPr>
      <w:r w:rsidRPr="00487BFC">
        <w:rPr>
          <w:b/>
        </w:rPr>
        <w:t>FIGURE 3</w:t>
      </w:r>
      <w:r w:rsidRPr="00487BFC">
        <w:rPr>
          <w:b/>
        </w:rPr>
        <w:t> </w:t>
      </w:r>
      <w:r w:rsidR="000F70A3" w:rsidRPr="000F70A3">
        <w:t>Adjusted risk ratios with 95% confidence intervals for primary and binary secondary outcomes</w:t>
      </w:r>
    </w:p>
    <w:p w14:paraId="6CF2CD69" w14:textId="77777777" w:rsidR="000F70A3" w:rsidRPr="000F70A3" w:rsidRDefault="000F70A3" w:rsidP="00487BFC">
      <w:pPr>
        <w:pStyle w:val="53BheadHeadingsHeadingstyles"/>
      </w:pPr>
      <w:r w:rsidRPr="000F70A3">
        <w:t>Interrelationship with other parts of the programme</w:t>
      </w:r>
    </w:p>
    <w:p w14:paraId="39BF1D72" w14:textId="18F81EED" w:rsidR="000F70A3" w:rsidRDefault="000F70A3" w:rsidP="00487BFC">
      <w:pPr>
        <w:pStyle w:val="602TextfoTextstylesTextstyles"/>
      </w:pPr>
      <w:r w:rsidRPr="000F70A3">
        <w:t xml:space="preserve">This work addresses uncertainty around the benefits of prescribing antibiotics to </w:t>
      </w:r>
      <w:r w:rsidRPr="000F70A3">
        <w:rPr>
          <w:color w:val="00B0F0"/>
        </w:rPr>
        <w:t>‘</w:t>
      </w:r>
      <w:r w:rsidRPr="000F70A3">
        <w:t>at risk</w:t>
      </w:r>
      <w:r w:rsidRPr="000F70A3">
        <w:rPr>
          <w:color w:val="00B0F0"/>
        </w:rPr>
        <w:t>’</w:t>
      </w:r>
      <w:r w:rsidRPr="000F70A3">
        <w:t xml:space="preserve"> children who present with ILI in community-based health care settings, as discussed in work packageb. Trial participants whose parents or guardians gave additional written informed consent also participated in our nested longitudinal cohort study to examine the impact of early co-amoxiclav use on long-term bacterial carriage and antibiotic resistance (work package d). </w:t>
      </w:r>
      <w:r w:rsidRPr="000F70A3">
        <w:rPr>
          <w:highlight w:val="magenta"/>
        </w:rPr>
        <w:t>Data</w:t>
      </w:r>
      <w:r w:rsidRPr="000F70A3">
        <w:t xml:space="preserve"> collected through the clinical trial was used in work package e to calculate risk reduction scores to identify which children may benefit most from co-amoxiclav treatment when presenting with ILI and to perform a health economics analysis.</w:t>
      </w:r>
    </w:p>
    <w:p w14:paraId="73D97242" w14:textId="77777777" w:rsidR="000F70A3" w:rsidRPr="000F70A3" w:rsidRDefault="000F70A3" w:rsidP="007B39CE">
      <w:pPr>
        <w:pStyle w:val="52AheadHeadingsHeadingstyles"/>
        <w:rPr>
          <w:rFonts w:eastAsia="DengXian Light"/>
        </w:rPr>
      </w:pPr>
      <w:bookmarkStart w:id="23" w:name="_Toc61506835"/>
      <w:bookmarkStart w:id="24" w:name="_Toc106099129"/>
      <w:r w:rsidRPr="000F70A3">
        <w:rPr>
          <w:rFonts w:eastAsia="DengXian Light"/>
        </w:rPr>
        <w:t>Addressing objective 6 To examine the impact on antibiotic resistance of early co-amoxiclav use in at risk children with influenza/ILI and objective 7 To determine the impact on long-term respiratory bacterial carriage of early co-amoxiclav use in at risk children with influenza/ILI</w:t>
      </w:r>
      <w:bookmarkEnd w:id="23"/>
      <w:bookmarkEnd w:id="24"/>
    </w:p>
    <w:p w14:paraId="780131A1" w14:textId="77777777" w:rsidR="000F70A3" w:rsidRPr="000F70A3" w:rsidRDefault="000F70A3" w:rsidP="007B39CE">
      <w:pPr>
        <w:pStyle w:val="602TextfoTextstylesTextstyles"/>
        <w:rPr>
          <w:b/>
        </w:rPr>
      </w:pPr>
      <w:r w:rsidRPr="000F70A3">
        <w:t xml:space="preserve">Two of the most significant threats to global health systems are antibiotic resistance, and emerging pathogens, such as new strains of respiratory viruses, with the potential to trigger pandemics. Concerns persist that over consumption of antibiotics fuels antibiotic resistance both in the general population and specifically when children are prescribed antibiotics unnecessarily. </w:t>
      </w:r>
      <w:r w:rsidRPr="000F70A3">
        <w:rPr>
          <w:color w:val="00B0F0"/>
        </w:rPr>
        <w:t>‘</w:t>
      </w:r>
      <w:r w:rsidRPr="000F70A3">
        <w:t>At risk</w:t>
      </w:r>
      <w:r w:rsidRPr="000F70A3">
        <w:rPr>
          <w:color w:val="00B0F0"/>
        </w:rPr>
        <w:t>’</w:t>
      </w:r>
      <w:r w:rsidRPr="000F70A3">
        <w:t xml:space="preserve"> children receive more courses of antibiotics than otherwise healthy children and as a result may carry a greater proportion of resistant species in their background respiratory tract flora which would potentially put them at higher risk of not responding to future courses of antibiotics. It is vital that given the consequences to both individuals and communities of antibiotic resistance that responsible antimicrobial stewardship is adopted and that the benefits of prescribing an antibiotic outweigh the potential risks.</w:t>
      </w:r>
    </w:p>
    <w:p w14:paraId="60D9DDCE" w14:textId="77777777" w:rsidR="000F70A3" w:rsidRPr="000F70A3" w:rsidRDefault="000F70A3" w:rsidP="007B39CE">
      <w:pPr>
        <w:pStyle w:val="602TextfoTextstylesTextstyles"/>
        <w:rPr>
          <w:color w:val="0563C1"/>
          <w:u w:val="single"/>
        </w:rPr>
      </w:pPr>
      <w:r w:rsidRPr="000F70A3">
        <w:t>Work exploring issues surrounding antibiotic resistance funded by the ARCHIE programme has been published as van Hecke O, Fuller A, Bankhead C</w:t>
      </w:r>
      <w:r w:rsidRPr="000F70A3">
        <w:rPr>
          <w:i/>
          <w:color w:val="00B0F0"/>
        </w:rPr>
        <w:t xml:space="preserve"> et al</w:t>
      </w:r>
      <w:r w:rsidRPr="000F70A3">
        <w:t xml:space="preserve"> Antibiotic exposure and </w:t>
      </w:r>
      <w:r w:rsidRPr="000F70A3">
        <w:rPr>
          <w:color w:val="00B0F0"/>
        </w:rPr>
        <w:t>‘</w:t>
      </w:r>
      <w:r w:rsidRPr="000F70A3">
        <w:t>Response Failure</w:t>
      </w:r>
      <w:r w:rsidRPr="000F70A3">
        <w:rPr>
          <w:color w:val="00B0F0"/>
        </w:rPr>
        <w:t>’</w:t>
      </w:r>
      <w:r w:rsidRPr="000F70A3">
        <w:t xml:space="preserve"> for subsequent respiratory tract infections: An observational cohort study for UK preschool children in primary care British Journal of </w:t>
      </w:r>
      <w:r w:rsidRPr="000F70A3">
        <w:rPr>
          <w:i/>
        </w:rPr>
        <w:t xml:space="preserve">General </w:t>
      </w:r>
      <w:r w:rsidRPr="000F70A3">
        <w:rPr>
          <w:i/>
          <w:highlight w:val="magenta"/>
        </w:rPr>
        <w:t>Practice</w:t>
      </w:r>
      <w:r w:rsidRPr="000F70A3">
        <w:t xml:space="preserve"> 2019; 69 (686): e638-e646. DOI: </w:t>
      </w:r>
      <w:r w:rsidRPr="000F70A3">
        <w:rPr>
          <w:color w:val="0563C1"/>
          <w:u w:val="single"/>
        </w:rPr>
        <w:t>https://doi.org/10.3399/bjgp19X705089</w:t>
      </w:r>
      <w:r w:rsidRPr="000F70A3">
        <w:t xml:space="preserve"> and as van Hecke O, Wang K, Lee J, Implications of Antibiotic Resistance for Patient</w:t>
      </w:r>
      <w:r w:rsidRPr="000F70A3">
        <w:rPr>
          <w:color w:val="00B0F0"/>
        </w:rPr>
        <w:t>’</w:t>
      </w:r>
      <w:r w:rsidRPr="000F70A3">
        <w:t xml:space="preserve">s Recovery from Common Infections in the Community: A systematic Review and Meta-Analysis and is available via Open Access at </w:t>
      </w:r>
      <w:r w:rsidRPr="000F70A3">
        <w:rPr>
          <w:color w:val="0563C1"/>
          <w:u w:val="single"/>
        </w:rPr>
        <w:t>https://www.ncbi.nlm.nih.gov/pmc/articles/PMC5850316/</w:t>
      </w:r>
      <w:r w:rsidRPr="000F70A3">
        <w:t xml:space="preserve">DOI: </w:t>
      </w:r>
      <w:r w:rsidRPr="000F70A3">
        <w:rPr>
          <w:color w:val="0563C1"/>
          <w:u w:val="single"/>
        </w:rPr>
        <w:t>https://doi.org/10.1093/cid/cix233.</w:t>
      </w:r>
    </w:p>
    <w:p w14:paraId="211F0C78" w14:textId="77777777" w:rsidR="000F70A3" w:rsidRPr="000F70A3" w:rsidRDefault="000F70A3" w:rsidP="007B39CE">
      <w:pPr>
        <w:pStyle w:val="602TextfoTextstylesTextstyles"/>
      </w:pPr>
      <w:r w:rsidRPr="000F70A3">
        <w:t xml:space="preserve">The likelihood of fuelling antibiotic resistance has implications for our programme findings as a potential consideration in balancing the risk/benefit ratio of co-amoxiclav prescribing for an influenza like illness in </w:t>
      </w:r>
      <w:r w:rsidRPr="000F70A3">
        <w:rPr>
          <w:color w:val="00B0F0"/>
        </w:rPr>
        <w:t>‘</w:t>
      </w:r>
      <w:r w:rsidRPr="000F70A3">
        <w:t>at risk</w:t>
      </w:r>
      <w:r w:rsidRPr="000F70A3">
        <w:rPr>
          <w:color w:val="00B0F0"/>
        </w:rPr>
        <w:t>’</w:t>
      </w:r>
      <w:r w:rsidRPr="000F70A3">
        <w:t xml:space="preserve"> children. This risk/benefit ratio is explored further in a nested microbiology sub study conducted as work package D of the ARCHIE programme.</w:t>
      </w:r>
    </w:p>
    <w:p w14:paraId="3F2E08E6" w14:textId="77777777" w:rsidR="000F70A3" w:rsidRPr="000F70A3" w:rsidRDefault="000F70A3" w:rsidP="007B39CE">
      <w:pPr>
        <w:pStyle w:val="53BheadHeadingsHeadingstyles"/>
      </w:pPr>
      <w:r w:rsidRPr="000F70A3">
        <w:t>Aims</w:t>
      </w:r>
    </w:p>
    <w:p w14:paraId="641826F6" w14:textId="77777777" w:rsidR="000F70A3" w:rsidRPr="000F70A3" w:rsidRDefault="000F70A3" w:rsidP="007B39CE">
      <w:pPr>
        <w:pStyle w:val="602TextfoTextstylesTextstyles"/>
        <w:rPr>
          <w:i/>
        </w:rPr>
      </w:pPr>
      <w:r w:rsidRPr="000F70A3">
        <w:t xml:space="preserve">We aimed to compare the group prevalence and resistance of </w:t>
      </w:r>
      <w:r w:rsidRPr="000F70A3">
        <w:rPr>
          <w:i/>
        </w:rPr>
        <w:t>Streptococcus pneumoniae</w:t>
      </w:r>
      <w:r w:rsidRPr="000F70A3">
        <w:t xml:space="preserve"> and </w:t>
      </w:r>
      <w:r w:rsidRPr="000F70A3">
        <w:rPr>
          <w:i/>
        </w:rPr>
        <w:t xml:space="preserve">Haemophilus Influenzae </w:t>
      </w:r>
      <w:r w:rsidRPr="000F70A3">
        <w:t xml:space="preserve">at 12 months </w:t>
      </w:r>
      <w:r w:rsidRPr="000F70A3">
        <w:rPr>
          <w:color w:val="00B0F0"/>
        </w:rPr>
        <w:t>among</w:t>
      </w:r>
      <w:r w:rsidRPr="000F70A3">
        <w:t xml:space="preserve"> children in the co-amoxiclav versus placebo arms of ARCHIE</w:t>
      </w:r>
      <w:r w:rsidRPr="000F70A3">
        <w:rPr>
          <w:i/>
        </w:rPr>
        <w:t xml:space="preserve">. </w:t>
      </w:r>
      <w:r w:rsidRPr="000F70A3">
        <w:t xml:space="preserve">This was to examine the potential impact of a five day course of co-amoxiclav on long term respiratory bacterial carriage and antibiotic resistance in </w:t>
      </w:r>
      <w:r w:rsidRPr="000F70A3">
        <w:rPr>
          <w:color w:val="00B0F0"/>
        </w:rPr>
        <w:t>‘</w:t>
      </w:r>
      <w:r w:rsidRPr="000F70A3">
        <w:t>at risk</w:t>
      </w:r>
      <w:r w:rsidRPr="000F70A3">
        <w:rPr>
          <w:color w:val="00B0F0"/>
        </w:rPr>
        <w:t>’</w:t>
      </w:r>
      <w:r w:rsidRPr="000F70A3">
        <w:t xml:space="preserve"> children consulting with ILI.</w:t>
      </w:r>
    </w:p>
    <w:p w14:paraId="0D9B892E" w14:textId="77777777" w:rsidR="000F70A3" w:rsidRPr="000F70A3" w:rsidRDefault="000F70A3" w:rsidP="007B39CE">
      <w:pPr>
        <w:pStyle w:val="53BheadHeadingsHeadingstyles"/>
      </w:pPr>
      <w:r w:rsidRPr="000F70A3">
        <w:t>Methods</w:t>
      </w:r>
    </w:p>
    <w:p w14:paraId="22EA6D13" w14:textId="77777777" w:rsidR="000F70A3" w:rsidRPr="000F70A3" w:rsidRDefault="000F70A3" w:rsidP="007B39CE">
      <w:pPr>
        <w:pStyle w:val="602TextfoTextstylesTextstyles"/>
        <w:rPr>
          <w:rFonts w:cs="Calibri"/>
        </w:rPr>
      </w:pPr>
      <w:r w:rsidRPr="000F70A3">
        <w:t xml:space="preserve">Parents/guardians of participants recruited into work package c were invited to additionally give consent for their child to take part in a nested microbiology sub study. We estimated that a sample of 210 children would be sufficient to detect a 20% increase in the proportion of ampicillin-resistant </w:t>
      </w:r>
      <w:r w:rsidRPr="000F70A3">
        <w:rPr>
          <w:i/>
        </w:rPr>
        <w:t xml:space="preserve">Streptococcus pneumoniae </w:t>
      </w:r>
      <w:r w:rsidRPr="000F70A3">
        <w:t xml:space="preserve">and Haemophilus species in the co-amoxiclav versus placebo group with 80% power and 5% alpha error. As we estimated a 40% lost to </w:t>
      </w:r>
      <w:r w:rsidRPr="000F70A3">
        <w:rPr>
          <w:highlight w:val="magenta"/>
        </w:rPr>
        <w:t>follow up</w:t>
      </w:r>
      <w:r w:rsidRPr="000F70A3">
        <w:t xml:space="preserve"> rate we planned to consent 360 children. Only 271 children were consented to the main trial. Baseline throat swabs were collected from all participants where possible as part of the main trial procedures with 225/271 baseline throat swabs being available and 201/271 children were consented to the nested sub study. Participants consented to the nested sub study were invited to have a </w:t>
      </w:r>
      <w:r w:rsidRPr="000F70A3">
        <w:rPr>
          <w:highlight w:val="magenta"/>
        </w:rPr>
        <w:t>follow up</w:t>
      </w:r>
      <w:r w:rsidRPr="000F70A3">
        <w:t xml:space="preserve"> throat swab at 3 month, 6 month and 12 month time points and a home visit for swab collection was offered where feasible. In </w:t>
      </w:r>
      <w:r w:rsidRPr="000F70A3">
        <w:rPr>
          <w:i/>
          <w:color w:val="FF0000"/>
        </w:rPr>
        <w:t>Table 1</w:t>
      </w:r>
      <w:r w:rsidRPr="000F70A3">
        <w:t xml:space="preserve"> (below) is a summary of completed swab </w:t>
      </w:r>
      <w:r w:rsidRPr="000F70A3">
        <w:rPr>
          <w:highlight w:val="magenta"/>
        </w:rPr>
        <w:t>data</w:t>
      </w:r>
      <w:r w:rsidRPr="000F70A3">
        <w:t xml:space="preserve"> for all randomised children. Throat swabs were immediately placed into </w:t>
      </w:r>
      <w:r w:rsidRPr="000F70A3">
        <w:rPr>
          <w:color w:val="00B0F0"/>
        </w:rPr>
        <w:t xml:space="preserve">1 ml </w:t>
      </w:r>
      <w:r w:rsidRPr="000F70A3">
        <w:t xml:space="preserve">Amies liquid transport medium and posted by first class mail to </w:t>
      </w:r>
      <w:r w:rsidRPr="000F70A3">
        <w:rPr>
          <w:rFonts w:cs="Calibri"/>
        </w:rPr>
        <w:t>Alder Hey Children</w:t>
      </w:r>
      <w:r w:rsidRPr="000F70A3">
        <w:rPr>
          <w:rFonts w:cs="Calibri"/>
          <w:color w:val="00B0F0"/>
        </w:rPr>
        <w:t>’</w:t>
      </w:r>
      <w:r w:rsidRPr="000F70A3">
        <w:rPr>
          <w:rFonts w:cs="Calibri"/>
        </w:rPr>
        <w:t>s Hospital</w:t>
      </w:r>
      <w:r w:rsidRPr="000F70A3">
        <w:rPr>
          <w:rFonts w:cs="Calibri"/>
          <w:color w:val="00B0F0"/>
        </w:rPr>
        <w:t>’</w:t>
      </w:r>
      <w:r w:rsidRPr="000F70A3">
        <w:rPr>
          <w:rFonts w:cs="Calibri"/>
        </w:rPr>
        <w:t>s NHS laboratory.</w:t>
      </w:r>
    </w:p>
    <w:p w14:paraId="166730B2" w14:textId="4C440DBA" w:rsidR="000F70A3" w:rsidRPr="000F70A3" w:rsidRDefault="007B39CE" w:rsidP="000F70A3">
      <w:pPr>
        <w:pStyle w:val="70TablelegendTablesTableFigureBoxstyles"/>
        <w:rPr>
          <w:rFonts w:eastAsia="DengXian"/>
          <w:lang w:eastAsia="en-GB" w:bidi="hi-IN"/>
        </w:rPr>
      </w:pPr>
      <w:r w:rsidRPr="007B39CE">
        <w:rPr>
          <w:rFonts w:eastAsia="DengXian"/>
          <w:b/>
        </w:rPr>
        <w:t>TABLE 1</w:t>
      </w:r>
      <w:r w:rsidRPr="007B39CE">
        <w:rPr>
          <w:rFonts w:eastAsia="DengXian"/>
          <w:b/>
        </w:rPr>
        <w:t> </w:t>
      </w:r>
      <w:r w:rsidR="000F70A3" w:rsidRPr="000F70A3">
        <w:rPr>
          <w:rFonts w:eastAsia="DengXian"/>
          <w:lang w:eastAsia="en-GB" w:bidi="hi-IN"/>
        </w:rPr>
        <w:t xml:space="preserve">Completed swab </w:t>
      </w:r>
      <w:r w:rsidR="000F70A3" w:rsidRPr="000F70A3">
        <w:rPr>
          <w:rFonts w:eastAsia="DengXian"/>
          <w:highlight w:val="magenta"/>
          <w:lang w:eastAsia="en-GB" w:bidi="hi-IN"/>
        </w:rPr>
        <w:t>data</w:t>
      </w:r>
      <w:r w:rsidR="000F70A3" w:rsidRPr="000F70A3">
        <w:rPr>
          <w:rFonts w:eastAsia="DengXian"/>
          <w:lang w:eastAsia="en-GB" w:bidi="hi-IN"/>
        </w:rPr>
        <w:t xml:space="preserve"> for all randomised children</w:t>
      </w:r>
    </w:p>
    <w:tbl>
      <w:tblPr>
        <w:tblW w:w="0" w:type="auto"/>
        <w:tblCellMar>
          <w:top w:w="40" w:type="dxa"/>
          <w:left w:w="60" w:type="dxa"/>
          <w:bottom w:w="40" w:type="dxa"/>
          <w:right w:w="60" w:type="dxa"/>
        </w:tblCellMar>
        <w:tblLook w:val="04A0" w:firstRow="1" w:lastRow="0" w:firstColumn="1" w:lastColumn="0" w:noHBand="0" w:noVBand="1"/>
      </w:tblPr>
      <w:tblGrid>
        <w:gridCol w:w="3551"/>
        <w:gridCol w:w="1254"/>
        <w:gridCol w:w="834"/>
      </w:tblGrid>
      <w:tr w:rsidR="000F70A3" w:rsidRPr="000F70A3" w14:paraId="4812E29B" w14:textId="77777777" w:rsidTr="0059567E">
        <w:trPr>
          <w:cantSplit/>
        </w:trPr>
        <w:tc>
          <w:tcPr>
            <w:tcW w:w="0" w:type="auto"/>
            <w:shd w:val="clear" w:color="auto" w:fill="D5DCE4"/>
          </w:tcPr>
          <w:p w14:paraId="0FC3D863" w14:textId="77777777" w:rsidR="000F70A3" w:rsidRPr="000F70A3" w:rsidRDefault="000F70A3" w:rsidP="007B39CE">
            <w:pPr>
              <w:pStyle w:val="710TableheadTablesTableFigureBoxstyles"/>
            </w:pPr>
          </w:p>
        </w:tc>
        <w:tc>
          <w:tcPr>
            <w:tcW w:w="0" w:type="auto"/>
            <w:shd w:val="clear" w:color="auto" w:fill="D5DCE4"/>
          </w:tcPr>
          <w:p w14:paraId="6750F886" w14:textId="77777777" w:rsidR="000F70A3" w:rsidRPr="000F70A3" w:rsidRDefault="000F70A3" w:rsidP="007B39CE">
            <w:pPr>
              <w:pStyle w:val="710TableheadTablesTableFigureBoxstyles"/>
            </w:pPr>
            <w:r w:rsidRPr="000F70A3">
              <w:t>Co-Amoxiclav</w:t>
            </w:r>
          </w:p>
        </w:tc>
        <w:tc>
          <w:tcPr>
            <w:tcW w:w="0" w:type="auto"/>
            <w:shd w:val="clear" w:color="auto" w:fill="D5DCE4"/>
          </w:tcPr>
          <w:p w14:paraId="285B0D1D" w14:textId="77777777" w:rsidR="000F70A3" w:rsidRPr="000F70A3" w:rsidRDefault="000F70A3" w:rsidP="007B39CE">
            <w:pPr>
              <w:pStyle w:val="710TableheadTablesTableFigureBoxstyles"/>
            </w:pPr>
            <w:r w:rsidRPr="000F70A3">
              <w:t>Placebo</w:t>
            </w:r>
          </w:p>
        </w:tc>
      </w:tr>
      <w:tr w:rsidR="000F70A3" w:rsidRPr="000F70A3" w14:paraId="28F7A9FA" w14:textId="77777777" w:rsidTr="0059567E">
        <w:trPr>
          <w:cantSplit/>
        </w:trPr>
        <w:tc>
          <w:tcPr>
            <w:tcW w:w="0" w:type="auto"/>
            <w:shd w:val="clear" w:color="auto" w:fill="D5DCE4"/>
          </w:tcPr>
          <w:p w14:paraId="178C42AE" w14:textId="77777777" w:rsidR="000F70A3" w:rsidRPr="000F70A3" w:rsidRDefault="000F70A3" w:rsidP="007B39CE">
            <w:pPr>
              <w:pStyle w:val="710TableheadTablesTableFigureBoxstyles"/>
            </w:pPr>
          </w:p>
        </w:tc>
        <w:tc>
          <w:tcPr>
            <w:tcW w:w="0" w:type="auto"/>
            <w:shd w:val="clear" w:color="auto" w:fill="D5DCE4"/>
          </w:tcPr>
          <w:p w14:paraId="7AE6D60A" w14:textId="77777777" w:rsidR="000F70A3" w:rsidRPr="000F70A3" w:rsidRDefault="000F70A3" w:rsidP="007B39CE">
            <w:pPr>
              <w:pStyle w:val="710TableheadTablesTableFigureBoxstyles"/>
            </w:pPr>
            <w:r w:rsidRPr="000F70A3">
              <w:t>(N = 136)</w:t>
            </w:r>
          </w:p>
        </w:tc>
        <w:tc>
          <w:tcPr>
            <w:tcW w:w="0" w:type="auto"/>
            <w:shd w:val="clear" w:color="auto" w:fill="D5DCE4"/>
          </w:tcPr>
          <w:p w14:paraId="04AE2CC1" w14:textId="77777777" w:rsidR="000F70A3" w:rsidRPr="000F70A3" w:rsidRDefault="000F70A3" w:rsidP="007B39CE">
            <w:pPr>
              <w:pStyle w:val="710TableheadTablesTableFigureBoxstyles"/>
            </w:pPr>
            <w:r w:rsidRPr="000F70A3">
              <w:t>(N = 135)</w:t>
            </w:r>
          </w:p>
        </w:tc>
      </w:tr>
      <w:tr w:rsidR="000F70A3" w:rsidRPr="000F70A3" w14:paraId="11159CD3" w14:textId="77777777" w:rsidTr="0059567E">
        <w:trPr>
          <w:cantSplit/>
        </w:trPr>
        <w:tc>
          <w:tcPr>
            <w:tcW w:w="0" w:type="auto"/>
            <w:shd w:val="clear" w:color="auto" w:fill="auto"/>
          </w:tcPr>
          <w:p w14:paraId="4040A8B2" w14:textId="77777777" w:rsidR="000F70A3" w:rsidRPr="007B39CE" w:rsidRDefault="000F70A3" w:rsidP="007B39CE">
            <w:pPr>
              <w:pStyle w:val="72TabletextTablesTableFigureBoxstyles"/>
              <w:rPr>
                <w:b/>
              </w:rPr>
            </w:pPr>
            <w:r w:rsidRPr="007B39CE">
              <w:rPr>
                <w:b/>
              </w:rPr>
              <w:t xml:space="preserve">Swab taken at baseline, </w:t>
            </w:r>
            <w:r w:rsidRPr="007B39CE">
              <w:rPr>
                <w:b/>
                <w:i/>
                <w:color w:val="00B0F0"/>
              </w:rPr>
              <w:t>n</w:t>
            </w:r>
            <w:r w:rsidRPr="007B39CE">
              <w:rPr>
                <w:b/>
              </w:rPr>
              <w:t>(%)</w:t>
            </w:r>
          </w:p>
        </w:tc>
        <w:tc>
          <w:tcPr>
            <w:tcW w:w="0" w:type="auto"/>
            <w:shd w:val="clear" w:color="auto" w:fill="auto"/>
          </w:tcPr>
          <w:p w14:paraId="0B949C71" w14:textId="77777777" w:rsidR="000F70A3" w:rsidRPr="000F70A3" w:rsidRDefault="000F70A3" w:rsidP="007B39CE">
            <w:pPr>
              <w:pStyle w:val="72TabletextTablesTableFigureBoxstyles"/>
            </w:pPr>
            <w:r w:rsidRPr="000F70A3">
              <w:t>114 (84%)</w:t>
            </w:r>
          </w:p>
        </w:tc>
        <w:tc>
          <w:tcPr>
            <w:tcW w:w="0" w:type="auto"/>
            <w:shd w:val="clear" w:color="auto" w:fill="auto"/>
          </w:tcPr>
          <w:p w14:paraId="5F42647B" w14:textId="77777777" w:rsidR="000F70A3" w:rsidRPr="000F70A3" w:rsidRDefault="000F70A3" w:rsidP="007B39CE">
            <w:pPr>
              <w:pStyle w:val="72TabletextTablesTableFigureBoxstyles"/>
            </w:pPr>
            <w:r w:rsidRPr="000F70A3">
              <w:t>111 (82%)</w:t>
            </w:r>
          </w:p>
        </w:tc>
      </w:tr>
      <w:tr w:rsidR="000F70A3" w:rsidRPr="000F70A3" w14:paraId="43365F93" w14:textId="77777777" w:rsidTr="0059567E">
        <w:trPr>
          <w:cantSplit/>
        </w:trPr>
        <w:tc>
          <w:tcPr>
            <w:tcW w:w="0" w:type="auto"/>
            <w:shd w:val="clear" w:color="auto" w:fill="auto"/>
          </w:tcPr>
          <w:p w14:paraId="052E11D7" w14:textId="77777777" w:rsidR="000F70A3" w:rsidRPr="007B39CE" w:rsidRDefault="000F70A3" w:rsidP="007B39CE">
            <w:pPr>
              <w:pStyle w:val="72TabletextTablesTableFigureBoxstyles"/>
              <w:rPr>
                <w:b/>
              </w:rPr>
            </w:pPr>
            <w:r w:rsidRPr="007B39CE">
              <w:rPr>
                <w:b/>
              </w:rPr>
              <w:t xml:space="preserve">Consented to swabs at 3, 6, and 12 months, </w:t>
            </w:r>
            <w:r w:rsidRPr="007B39CE">
              <w:rPr>
                <w:b/>
                <w:i/>
                <w:color w:val="00B0F0"/>
              </w:rPr>
              <w:t>n</w:t>
            </w:r>
            <w:r w:rsidRPr="007B39CE">
              <w:rPr>
                <w:b/>
              </w:rPr>
              <w:t>(%)</w:t>
            </w:r>
          </w:p>
        </w:tc>
        <w:tc>
          <w:tcPr>
            <w:tcW w:w="0" w:type="auto"/>
            <w:shd w:val="clear" w:color="auto" w:fill="auto"/>
          </w:tcPr>
          <w:p w14:paraId="536F07A6" w14:textId="77777777" w:rsidR="000F70A3" w:rsidRPr="000F70A3" w:rsidRDefault="000F70A3" w:rsidP="007B39CE">
            <w:pPr>
              <w:pStyle w:val="72TabletextTablesTableFigureBoxstyles"/>
            </w:pPr>
            <w:r w:rsidRPr="000F70A3">
              <w:t>103 (76%)</w:t>
            </w:r>
          </w:p>
        </w:tc>
        <w:tc>
          <w:tcPr>
            <w:tcW w:w="0" w:type="auto"/>
            <w:shd w:val="clear" w:color="auto" w:fill="auto"/>
          </w:tcPr>
          <w:p w14:paraId="65853B07" w14:textId="77777777" w:rsidR="000F70A3" w:rsidRPr="000F70A3" w:rsidRDefault="000F70A3" w:rsidP="007B39CE">
            <w:pPr>
              <w:pStyle w:val="72TabletextTablesTableFigureBoxstyles"/>
            </w:pPr>
            <w:r w:rsidRPr="000F70A3">
              <w:t>98 (73%)</w:t>
            </w:r>
          </w:p>
        </w:tc>
      </w:tr>
      <w:tr w:rsidR="000F70A3" w:rsidRPr="000F70A3" w14:paraId="6EBCDBE3" w14:textId="77777777" w:rsidTr="0059567E">
        <w:trPr>
          <w:cantSplit/>
        </w:trPr>
        <w:tc>
          <w:tcPr>
            <w:tcW w:w="0" w:type="auto"/>
            <w:shd w:val="clear" w:color="auto" w:fill="auto"/>
          </w:tcPr>
          <w:p w14:paraId="17FD50B0" w14:textId="77777777" w:rsidR="000F70A3" w:rsidRPr="007B39CE" w:rsidRDefault="000F70A3" w:rsidP="007B39CE">
            <w:pPr>
              <w:pStyle w:val="72TabletextTablesTableFigureBoxstyles"/>
              <w:rPr>
                <w:b/>
              </w:rPr>
            </w:pPr>
            <w:r w:rsidRPr="007B39CE">
              <w:rPr>
                <w:b/>
              </w:rPr>
              <w:t xml:space="preserve">Swab taken at 3 months, </w:t>
            </w:r>
            <w:r w:rsidRPr="007B39CE">
              <w:rPr>
                <w:b/>
                <w:i/>
                <w:color w:val="00B0F0"/>
              </w:rPr>
              <w:t>n</w:t>
            </w:r>
            <w:r w:rsidRPr="007B39CE">
              <w:rPr>
                <w:b/>
              </w:rPr>
              <w:t>(%)</w:t>
            </w:r>
          </w:p>
        </w:tc>
        <w:tc>
          <w:tcPr>
            <w:tcW w:w="0" w:type="auto"/>
            <w:shd w:val="clear" w:color="auto" w:fill="auto"/>
          </w:tcPr>
          <w:p w14:paraId="6C0D31F2" w14:textId="77777777" w:rsidR="000F70A3" w:rsidRPr="000F70A3" w:rsidRDefault="000F70A3" w:rsidP="007B39CE">
            <w:pPr>
              <w:pStyle w:val="72TabletextTablesTableFigureBoxstyles"/>
            </w:pPr>
            <w:r w:rsidRPr="000F70A3">
              <w:t>55 (40%)</w:t>
            </w:r>
          </w:p>
        </w:tc>
        <w:tc>
          <w:tcPr>
            <w:tcW w:w="0" w:type="auto"/>
            <w:shd w:val="clear" w:color="auto" w:fill="auto"/>
          </w:tcPr>
          <w:p w14:paraId="51421217" w14:textId="77777777" w:rsidR="000F70A3" w:rsidRPr="000F70A3" w:rsidRDefault="000F70A3" w:rsidP="007B39CE">
            <w:pPr>
              <w:pStyle w:val="72TabletextTablesTableFigureBoxstyles"/>
            </w:pPr>
            <w:r w:rsidRPr="000F70A3">
              <w:t>45 (33%)</w:t>
            </w:r>
          </w:p>
        </w:tc>
      </w:tr>
      <w:tr w:rsidR="000F70A3" w:rsidRPr="000F70A3" w14:paraId="663A0F57" w14:textId="77777777" w:rsidTr="0059567E">
        <w:trPr>
          <w:cantSplit/>
        </w:trPr>
        <w:tc>
          <w:tcPr>
            <w:tcW w:w="0" w:type="auto"/>
            <w:shd w:val="clear" w:color="auto" w:fill="auto"/>
          </w:tcPr>
          <w:p w14:paraId="5E4C8401" w14:textId="77777777" w:rsidR="000F70A3" w:rsidRPr="007B39CE" w:rsidRDefault="000F70A3" w:rsidP="007B39CE">
            <w:pPr>
              <w:pStyle w:val="72TabletextTablesTableFigureBoxstyles"/>
              <w:rPr>
                <w:b/>
              </w:rPr>
            </w:pPr>
            <w:r w:rsidRPr="007B39CE">
              <w:rPr>
                <w:b/>
              </w:rPr>
              <w:t xml:space="preserve">Swab taken at 6 months, </w:t>
            </w:r>
            <w:r w:rsidRPr="007B39CE">
              <w:rPr>
                <w:b/>
                <w:i/>
                <w:color w:val="00B0F0"/>
              </w:rPr>
              <w:t>n</w:t>
            </w:r>
            <w:r w:rsidRPr="007B39CE">
              <w:rPr>
                <w:b/>
              </w:rPr>
              <w:t>(%)</w:t>
            </w:r>
          </w:p>
        </w:tc>
        <w:tc>
          <w:tcPr>
            <w:tcW w:w="0" w:type="auto"/>
            <w:shd w:val="clear" w:color="auto" w:fill="auto"/>
          </w:tcPr>
          <w:p w14:paraId="387113F9" w14:textId="77777777" w:rsidR="000F70A3" w:rsidRPr="000F70A3" w:rsidRDefault="000F70A3" w:rsidP="007B39CE">
            <w:pPr>
              <w:pStyle w:val="72TabletextTablesTableFigureBoxstyles"/>
            </w:pPr>
            <w:r w:rsidRPr="000F70A3">
              <w:t>47 (35%)</w:t>
            </w:r>
          </w:p>
        </w:tc>
        <w:tc>
          <w:tcPr>
            <w:tcW w:w="0" w:type="auto"/>
            <w:shd w:val="clear" w:color="auto" w:fill="auto"/>
          </w:tcPr>
          <w:p w14:paraId="651809BA" w14:textId="77777777" w:rsidR="000F70A3" w:rsidRPr="000F70A3" w:rsidRDefault="000F70A3" w:rsidP="007B39CE">
            <w:pPr>
              <w:pStyle w:val="72TabletextTablesTableFigureBoxstyles"/>
            </w:pPr>
            <w:r w:rsidRPr="000F70A3">
              <w:t>45 (33%)</w:t>
            </w:r>
          </w:p>
        </w:tc>
      </w:tr>
      <w:tr w:rsidR="000F70A3" w:rsidRPr="000F70A3" w14:paraId="1EA762D1" w14:textId="77777777" w:rsidTr="0059567E">
        <w:trPr>
          <w:cantSplit/>
        </w:trPr>
        <w:tc>
          <w:tcPr>
            <w:tcW w:w="0" w:type="auto"/>
            <w:shd w:val="clear" w:color="auto" w:fill="auto"/>
          </w:tcPr>
          <w:p w14:paraId="5C6B7696" w14:textId="77777777" w:rsidR="000F70A3" w:rsidRPr="007B39CE" w:rsidRDefault="000F70A3" w:rsidP="007B39CE">
            <w:pPr>
              <w:pStyle w:val="72TabletextTablesTableFigureBoxstyles"/>
              <w:rPr>
                <w:b/>
              </w:rPr>
            </w:pPr>
            <w:r w:rsidRPr="007B39CE">
              <w:rPr>
                <w:b/>
              </w:rPr>
              <w:t xml:space="preserve">Swab taken at 12 months, </w:t>
            </w:r>
            <w:r w:rsidRPr="007B39CE">
              <w:rPr>
                <w:b/>
                <w:i/>
                <w:color w:val="00B0F0"/>
              </w:rPr>
              <w:t>n</w:t>
            </w:r>
            <w:r w:rsidRPr="007B39CE">
              <w:rPr>
                <w:b/>
              </w:rPr>
              <w:t>(%)</w:t>
            </w:r>
          </w:p>
        </w:tc>
        <w:tc>
          <w:tcPr>
            <w:tcW w:w="0" w:type="auto"/>
            <w:shd w:val="clear" w:color="auto" w:fill="auto"/>
          </w:tcPr>
          <w:p w14:paraId="21B14D9B" w14:textId="77777777" w:rsidR="000F70A3" w:rsidRPr="000F70A3" w:rsidRDefault="000F70A3" w:rsidP="007B39CE">
            <w:pPr>
              <w:pStyle w:val="72TabletextTablesTableFigureBoxstyles"/>
            </w:pPr>
            <w:r w:rsidRPr="000F70A3">
              <w:t>47 (35%)</w:t>
            </w:r>
          </w:p>
        </w:tc>
        <w:tc>
          <w:tcPr>
            <w:tcW w:w="0" w:type="auto"/>
            <w:shd w:val="clear" w:color="auto" w:fill="auto"/>
          </w:tcPr>
          <w:p w14:paraId="29FB097A" w14:textId="77777777" w:rsidR="000F70A3" w:rsidRPr="000F70A3" w:rsidRDefault="000F70A3" w:rsidP="007B39CE">
            <w:pPr>
              <w:pStyle w:val="72TabletextTablesTableFigureBoxstyles"/>
            </w:pPr>
            <w:r w:rsidRPr="000F70A3">
              <w:t>46 (34%)</w:t>
            </w:r>
          </w:p>
        </w:tc>
      </w:tr>
    </w:tbl>
    <w:p w14:paraId="4710D368" w14:textId="77777777" w:rsidR="000F70A3" w:rsidRPr="000F70A3" w:rsidRDefault="000F70A3" w:rsidP="007B39CE">
      <w:pPr>
        <w:pStyle w:val="602TextfoTextstylesTextstyles"/>
      </w:pPr>
      <w:r w:rsidRPr="000F70A3">
        <w:t xml:space="preserve">Swabs were plated by application of 1ul and 10ul loops of transport media on blood and chocolate agar bacterial growth media both with and without ampicillin to be analysed for bacterial growth by species identified and resistance to common anti-microbial agents. We compared the group prevalence and resistance of </w:t>
      </w:r>
      <w:r w:rsidRPr="000F70A3">
        <w:rPr>
          <w:i/>
          <w:iCs/>
        </w:rPr>
        <w:t>Haemophilus influenzae</w:t>
      </w:r>
      <w:r w:rsidRPr="000F70A3">
        <w:t xml:space="preserve">, </w:t>
      </w:r>
      <w:r w:rsidRPr="000F70A3">
        <w:rPr>
          <w:i/>
          <w:iCs/>
        </w:rPr>
        <w:t>Streptococcus pneumoniae, and Streptococcus species.</w:t>
      </w:r>
      <w:r w:rsidRPr="000F70A3">
        <w:t xml:space="preserve"> at 12 months among children in the co-amoxiclav versus placebo arm. Parents/guardians gave consent for their children</w:t>
      </w:r>
      <w:r w:rsidRPr="000F70A3">
        <w:rPr>
          <w:color w:val="00B0F0"/>
        </w:rPr>
        <w:t>’</w:t>
      </w:r>
      <w:r w:rsidRPr="000F70A3">
        <w:t xml:space="preserve">s primary care records to be reviewed and </w:t>
      </w:r>
      <w:r w:rsidRPr="000F70A3">
        <w:rPr>
          <w:highlight w:val="magenta"/>
        </w:rPr>
        <w:t>data</w:t>
      </w:r>
      <w:r w:rsidRPr="000F70A3">
        <w:t xml:space="preserve"> pertinent to antimicrobial prescribing in the three months prior to enrolment and duration of the study were collated and compared.</w:t>
      </w:r>
    </w:p>
    <w:p w14:paraId="6B8B1BA3" w14:textId="77777777" w:rsidR="000F70A3" w:rsidRPr="000F70A3" w:rsidRDefault="000F70A3" w:rsidP="007B39CE">
      <w:pPr>
        <w:pStyle w:val="53BheadHeadingsHeadingstyles"/>
      </w:pPr>
      <w:r w:rsidRPr="000F70A3">
        <w:t>Analysis</w:t>
      </w:r>
    </w:p>
    <w:p w14:paraId="52B03AC5" w14:textId="77777777" w:rsidR="000F70A3" w:rsidRPr="000F70A3" w:rsidRDefault="000F70A3" w:rsidP="007B39CE">
      <w:pPr>
        <w:pStyle w:val="602TextfoTextstylesTextstyles"/>
        <w:rPr>
          <w:color w:val="00B0F0"/>
        </w:rPr>
      </w:pPr>
      <w:r w:rsidRPr="000F70A3">
        <w:t xml:space="preserve">We originally planned to apply a log transformation to Minimum Inhibitory Concentration (MIC) measurements and summarise these </w:t>
      </w:r>
      <w:r w:rsidRPr="000F70A3">
        <w:rPr>
          <w:highlight w:val="magenta"/>
        </w:rPr>
        <w:t>data</w:t>
      </w:r>
      <w:r w:rsidRPr="000F70A3">
        <w:t xml:space="preserve"> using geometric means and 95% confidence intervals. We intended to compare the group prevalence of </w:t>
      </w:r>
      <w:r w:rsidRPr="000F70A3">
        <w:rPr>
          <w:i/>
        </w:rPr>
        <w:t>Streptococcus pneumoniae</w:t>
      </w:r>
      <w:r w:rsidRPr="000F70A3">
        <w:t xml:space="preserve">, </w:t>
      </w:r>
      <w:r w:rsidRPr="000F70A3">
        <w:rPr>
          <w:i/>
        </w:rPr>
        <w:t>Haemophilus influenzae</w:t>
      </w:r>
      <w:r w:rsidRPr="000F70A3">
        <w:t xml:space="preserve"> and </w:t>
      </w:r>
      <w:r w:rsidRPr="000F70A3">
        <w:rPr>
          <w:i/>
          <w:color w:val="00B0F0"/>
        </w:rPr>
        <w:t>Staphylococcus aureus</w:t>
      </w:r>
      <w:r w:rsidRPr="000F70A3">
        <w:t xml:space="preserve"> at 12 months among children in the co-amoxiclav and placebo arms. </w:t>
      </w:r>
      <w:r w:rsidRPr="000F70A3">
        <w:rPr>
          <w:highlight w:val="magenta"/>
        </w:rPr>
        <w:t>Data</w:t>
      </w:r>
      <w:r w:rsidRPr="000F70A3">
        <w:t xml:space="preserve"> on swabs at 3 and 6 months would help impute information on children without a 12 month swab.</w:t>
      </w:r>
    </w:p>
    <w:p w14:paraId="4DCB6976" w14:textId="77777777" w:rsidR="000F70A3" w:rsidRPr="000F70A3" w:rsidRDefault="000F70A3" w:rsidP="007B39CE">
      <w:pPr>
        <w:pStyle w:val="602TextfoTextstylesTextstyles"/>
        <w:rPr>
          <w:rFonts w:cs="Calibri"/>
        </w:rPr>
      </w:pPr>
      <w:r w:rsidRPr="000F70A3">
        <w:rPr>
          <w:color w:val="00B0F0"/>
        </w:rPr>
        <w:t>Owing to</w:t>
      </w:r>
      <w:r w:rsidRPr="000F70A3">
        <w:t xml:space="preserve"> limited </w:t>
      </w:r>
      <w:r w:rsidRPr="000F70A3">
        <w:rPr>
          <w:highlight w:val="magenta"/>
        </w:rPr>
        <w:t>data</w:t>
      </w:r>
      <w:r w:rsidRPr="000F70A3">
        <w:t xml:space="preserve"> available through lower recruitment into work package c, a higher rate of </w:t>
      </w:r>
      <w:r w:rsidRPr="000F70A3">
        <w:rPr>
          <w:highlight w:val="magenta"/>
        </w:rPr>
        <w:t>follow up</w:t>
      </w:r>
      <w:r w:rsidRPr="000F70A3">
        <w:t xml:space="preserve"> attrition (66% versus the estimated 40%) and fewer pathogens isolated (only two incidences of </w:t>
      </w:r>
      <w:r w:rsidRPr="000F70A3">
        <w:rPr>
          <w:rFonts w:cs="Calibri"/>
          <w:i/>
          <w:iCs/>
        </w:rPr>
        <w:t xml:space="preserve">Streptococcus pneumonia </w:t>
      </w:r>
      <w:r w:rsidRPr="000F70A3">
        <w:rPr>
          <w:rFonts w:cs="Calibri"/>
          <w:iCs/>
        </w:rPr>
        <w:t>were cultured</w:t>
      </w:r>
      <w:r w:rsidRPr="000F70A3">
        <w:rPr>
          <w:rFonts w:cs="Calibri"/>
          <w:i/>
          <w:iCs/>
        </w:rPr>
        <w:t>)</w:t>
      </w:r>
      <w:r w:rsidRPr="000F70A3">
        <w:t xml:space="preserve"> than anticipated, analysis was descriptive as few statistical tests could be applied. However enough </w:t>
      </w:r>
      <w:r w:rsidRPr="000F70A3">
        <w:rPr>
          <w:highlight w:val="magenta"/>
        </w:rPr>
        <w:t>data</w:t>
      </w:r>
      <w:r w:rsidRPr="000F70A3">
        <w:t xml:space="preserve"> were available to perform a chi squared test on the </w:t>
      </w:r>
      <w:r w:rsidRPr="000F70A3">
        <w:rPr>
          <w:rFonts w:cs="Calibri"/>
          <w:i/>
          <w:iCs/>
        </w:rPr>
        <w:t>Haemophilus influenzae</w:t>
      </w:r>
      <w:r w:rsidRPr="000F70A3">
        <w:rPr>
          <w:rFonts w:cs="Calibri"/>
        </w:rPr>
        <w:t xml:space="preserve"> results and prescribing pattern obtained from the medical notes review</w:t>
      </w:r>
      <w:r w:rsidRPr="000F70A3">
        <w:t xml:space="preserve">. </w:t>
      </w:r>
      <w:r w:rsidRPr="000F70A3">
        <w:rPr>
          <w:rFonts w:cs="Calibri"/>
        </w:rPr>
        <w:t>Swabs were reported by bacterial species cultured. Where more than one isolate of the same species was present, only the isolate that had evidence of resistance was included in analysis. Where more than one bacterial species was present, these were analysed separately.</w:t>
      </w:r>
    </w:p>
    <w:p w14:paraId="0F99C22A" w14:textId="77777777" w:rsidR="000F70A3" w:rsidRPr="000F70A3" w:rsidRDefault="000F70A3" w:rsidP="007B39CE">
      <w:pPr>
        <w:pStyle w:val="53BheadHeadingsHeadingstyles"/>
      </w:pPr>
      <w:r w:rsidRPr="000F70A3">
        <w:t>Strengths and limitations</w:t>
      </w:r>
    </w:p>
    <w:p w14:paraId="18BA871F" w14:textId="77777777" w:rsidR="000F70A3" w:rsidRPr="000F70A3" w:rsidRDefault="000F70A3" w:rsidP="007B39CE">
      <w:pPr>
        <w:pStyle w:val="602TextfoTextstylesTextstyles"/>
      </w:pPr>
      <w:r w:rsidRPr="000F70A3">
        <w:t xml:space="preserve">A major strength of this work is that it recruited a cohort of </w:t>
      </w:r>
      <w:r w:rsidRPr="000F70A3">
        <w:rPr>
          <w:color w:val="00B0F0"/>
        </w:rPr>
        <w:t>‘</w:t>
      </w:r>
      <w:r w:rsidRPr="000F70A3">
        <w:t>at risk</w:t>
      </w:r>
      <w:r w:rsidRPr="000F70A3">
        <w:rPr>
          <w:color w:val="00B0F0"/>
        </w:rPr>
        <w:t>’</w:t>
      </w:r>
      <w:r w:rsidRPr="000F70A3">
        <w:t xml:space="preserve"> children who tend to be more frequent antibiotic consumers than their peers. It is also embedded in a randomised controlled trial rather than merely observational. A limitation is that lower recruitment into work package c impacted recruitment into the nested sub study and retention in the nested sub study was lower than the anticipated with approximately 66% attrition. A 12 month swab was obtained from only 93 of 225 participants who had a baseline swab with only 201/225 consenting to the nested sub study</w:t>
      </w:r>
    </w:p>
    <w:p w14:paraId="46DE7D23" w14:textId="77777777" w:rsidR="000F70A3" w:rsidRPr="000F70A3" w:rsidRDefault="000F70A3" w:rsidP="007B39CE">
      <w:pPr>
        <w:pStyle w:val="53BheadHeadingsHeadingstyles"/>
      </w:pPr>
      <w:r w:rsidRPr="000F70A3">
        <w:t>Key Findings</w:t>
      </w:r>
    </w:p>
    <w:p w14:paraId="60738F7D" w14:textId="3FF60E2F" w:rsidR="000F70A3" w:rsidRPr="000F70A3" w:rsidRDefault="000F70A3" w:rsidP="007B39CE">
      <w:pPr>
        <w:pStyle w:val="611BulletlistTextstyles"/>
      </w:pPr>
      <w:r w:rsidRPr="000F70A3">
        <w:rPr>
          <w:i/>
          <w:iCs/>
        </w:rPr>
        <w:t>Haemophilus influenzae</w:t>
      </w:r>
      <w:r w:rsidRPr="000F70A3">
        <w:t xml:space="preserve"> was the most commonly isolated potential pathogen (23% of all pathogens identified) and no evidence was found to suggest that the 5 day course of co-amoxiclav impacted its susceptibility to antibiotics. In </w:t>
      </w:r>
      <w:r w:rsidRPr="000F70A3">
        <w:rPr>
          <w:i/>
          <w:color w:val="FF0000"/>
        </w:rPr>
        <w:t>Table 2</w:t>
      </w:r>
      <w:r w:rsidRPr="000F70A3">
        <w:t xml:space="preserve"> (P41) is a summary of prevalence of isolates.</w:t>
      </w:r>
    </w:p>
    <w:p w14:paraId="4C549E34" w14:textId="23972FFC" w:rsidR="000F70A3" w:rsidRPr="000F70A3" w:rsidRDefault="000F70A3" w:rsidP="007B39CE">
      <w:pPr>
        <w:pStyle w:val="611BulletlistTextstyles"/>
      </w:pPr>
      <w:r w:rsidRPr="000F70A3">
        <w:t xml:space="preserve">Only two isolates of </w:t>
      </w:r>
      <w:r w:rsidRPr="000F70A3">
        <w:rPr>
          <w:i/>
          <w:iCs/>
        </w:rPr>
        <w:t>Streptococcus pneumoniae</w:t>
      </w:r>
      <w:r w:rsidRPr="000F70A3">
        <w:t xml:space="preserve"> were cultured, which may be indicative of the success of the pneumococcal vaccine programme as this was anticipated to be significantly higher in this cohort. No evidence was found to suggest that the additional course of co-amoxiclav leads to suppression of normal mixed flora or emergence of other resistant species such as Methicillin Resistant </w:t>
      </w:r>
      <w:r w:rsidRPr="000F70A3">
        <w:rPr>
          <w:i/>
          <w:color w:val="00B0F0"/>
        </w:rPr>
        <w:t>Staphylococcus</w:t>
      </w:r>
      <w:r w:rsidRPr="000F70A3">
        <w:t xml:space="preserve"> Aureus (MRSA). In </w:t>
      </w:r>
      <w:r w:rsidRPr="000F70A3">
        <w:rPr>
          <w:i/>
          <w:color w:val="FF0000"/>
        </w:rPr>
        <w:t>Table 3</w:t>
      </w:r>
      <w:r w:rsidRPr="000F70A3">
        <w:t xml:space="preserve"> (page 41) is a summary of prevalence of resistant isolates.</w:t>
      </w:r>
    </w:p>
    <w:p w14:paraId="65460B07" w14:textId="585A0EF4" w:rsidR="000F70A3" w:rsidRPr="000F70A3" w:rsidRDefault="000F70A3" w:rsidP="007B39CE">
      <w:pPr>
        <w:pStyle w:val="611BulletlistTextstyles"/>
      </w:pPr>
      <w:r w:rsidRPr="000F70A3">
        <w:t xml:space="preserve">An unexpected observation was the substantial difference and reduction in number of antibiotics prescriptions issued to ARCHIE participants during the 12-month period of </w:t>
      </w:r>
      <w:r w:rsidRPr="000F70A3">
        <w:rPr>
          <w:highlight w:val="magenta"/>
        </w:rPr>
        <w:t>follow up</w:t>
      </w:r>
      <w:r w:rsidRPr="000F70A3">
        <w:t xml:space="preserve"> </w:t>
      </w:r>
      <w:r w:rsidRPr="000F70A3">
        <w:rPr>
          <w:highlight w:val="magenta"/>
        </w:rPr>
        <w:t>compared to</w:t>
      </w:r>
      <w:r w:rsidRPr="000F70A3">
        <w:t xml:space="preserve"> 3 months prior to study entry suggesting a strong placebo effect to trial participation. This may reflect the confidence parents had in the regular safety monitoring provided by study participation.</w:t>
      </w:r>
    </w:p>
    <w:p w14:paraId="4B21F916" w14:textId="7D3C0F0E" w:rsidR="000F70A3" w:rsidRPr="000F70A3" w:rsidRDefault="000F70A3" w:rsidP="007B39CE">
      <w:pPr>
        <w:pStyle w:val="611BulletlistTextstyles"/>
      </w:pPr>
      <w:r w:rsidRPr="000F70A3">
        <w:t>The systematic review conducted by van Hecke</w:t>
      </w:r>
      <w:r w:rsidRPr="000F70A3">
        <w:rPr>
          <w:i/>
          <w:color w:val="00B0F0"/>
        </w:rPr>
        <w:t xml:space="preserve"> et al</w:t>
      </w:r>
      <w:r w:rsidRPr="000F70A3">
        <w:t>. showed that patients with laboratory-confirmed antibiotic-resistant respiratory tract infections are more likely to experience delays in clinical recovery after treatment with antibiotics.</w:t>
      </w:r>
    </w:p>
    <w:p w14:paraId="715DB042" w14:textId="457834D9" w:rsidR="000F70A3" w:rsidRPr="000F70A3" w:rsidRDefault="000F70A3" w:rsidP="007B39CE">
      <w:pPr>
        <w:pStyle w:val="614TextbulletlistlastTextstylesTextstyles"/>
      </w:pPr>
      <w:r w:rsidRPr="000F70A3">
        <w:t>The observational cohort study conducted by van Hecke</w:t>
      </w:r>
      <w:r w:rsidRPr="000F70A3">
        <w:rPr>
          <w:i/>
          <w:color w:val="00B0F0"/>
        </w:rPr>
        <w:t xml:space="preserve"> et al</w:t>
      </w:r>
      <w:r w:rsidRPr="000F70A3">
        <w:t xml:space="preserve">. showed that odds of response failure were greater in children prescribed antibiotics for an acute respiratory tract infection who had already received two or more courses of antibiotics for respiratory tract infections in the </w:t>
      </w:r>
      <w:r w:rsidRPr="000F70A3">
        <w:rPr>
          <w:highlight w:val="magenta"/>
        </w:rPr>
        <w:t>preceding</w:t>
      </w:r>
      <w:r w:rsidRPr="000F70A3">
        <w:t xml:space="preserve"> year.</w:t>
      </w:r>
    </w:p>
    <w:p w14:paraId="323FCA11" w14:textId="11D7010F" w:rsidR="000F70A3" w:rsidRPr="000F70A3" w:rsidRDefault="007B39CE" w:rsidP="000F70A3">
      <w:pPr>
        <w:pStyle w:val="70TablelegendTablesTableFigureBoxstyles"/>
        <w:rPr>
          <w:rFonts w:cs="Calibri"/>
        </w:rPr>
      </w:pPr>
      <w:r w:rsidRPr="007B39CE">
        <w:rPr>
          <w:b/>
        </w:rPr>
        <w:t>TABLE 2</w:t>
      </w:r>
      <w:r w:rsidRPr="007B39CE">
        <w:rPr>
          <w:b/>
        </w:rPr>
        <w:t> </w:t>
      </w:r>
      <w:r>
        <w:t>prevalence of isolates</w:t>
      </w:r>
    </w:p>
    <w:tbl>
      <w:tblPr>
        <w:tblW w:w="0" w:type="auto"/>
        <w:tblCellMar>
          <w:top w:w="40" w:type="dxa"/>
          <w:left w:w="60" w:type="dxa"/>
          <w:bottom w:w="40" w:type="dxa"/>
          <w:right w:w="60" w:type="dxa"/>
        </w:tblCellMar>
        <w:tblLook w:val="04A0" w:firstRow="1" w:lastRow="0" w:firstColumn="1" w:lastColumn="0" w:noHBand="0" w:noVBand="1"/>
      </w:tblPr>
      <w:tblGrid>
        <w:gridCol w:w="2041"/>
        <w:gridCol w:w="834"/>
        <w:gridCol w:w="867"/>
        <w:gridCol w:w="867"/>
        <w:gridCol w:w="961"/>
        <w:gridCol w:w="834"/>
        <w:gridCol w:w="867"/>
        <w:gridCol w:w="867"/>
        <w:gridCol w:w="961"/>
      </w:tblGrid>
      <w:tr w:rsidR="000F70A3" w:rsidRPr="000F70A3" w14:paraId="42BD7783" w14:textId="77777777" w:rsidTr="0059567E">
        <w:trPr>
          <w:cantSplit/>
        </w:trPr>
        <w:tc>
          <w:tcPr>
            <w:tcW w:w="0" w:type="auto"/>
            <w:shd w:val="clear" w:color="auto" w:fill="D5DCE4"/>
          </w:tcPr>
          <w:p w14:paraId="5437ABD7" w14:textId="77777777" w:rsidR="000F70A3" w:rsidRPr="000F70A3" w:rsidRDefault="000F70A3" w:rsidP="007B39CE">
            <w:pPr>
              <w:pStyle w:val="710TableheadTablesTableFigureBoxstyles"/>
            </w:pPr>
          </w:p>
        </w:tc>
        <w:tc>
          <w:tcPr>
            <w:tcW w:w="0" w:type="auto"/>
            <w:gridSpan w:val="4"/>
            <w:shd w:val="clear" w:color="auto" w:fill="D5DCE4"/>
          </w:tcPr>
          <w:p w14:paraId="76C843C0" w14:textId="77777777" w:rsidR="000F70A3" w:rsidRPr="000F70A3" w:rsidRDefault="000F70A3" w:rsidP="007B39CE">
            <w:pPr>
              <w:pStyle w:val="705TableheadgroupTablesTableFigureBoxstyles"/>
            </w:pPr>
            <w:r w:rsidRPr="000F70A3">
              <w:t>Co-Amoxiclav</w:t>
            </w:r>
          </w:p>
        </w:tc>
        <w:tc>
          <w:tcPr>
            <w:tcW w:w="0" w:type="auto"/>
            <w:gridSpan w:val="4"/>
            <w:shd w:val="clear" w:color="auto" w:fill="D5DCE4"/>
          </w:tcPr>
          <w:p w14:paraId="7BDC051F" w14:textId="77777777" w:rsidR="000F70A3" w:rsidRPr="000F70A3" w:rsidRDefault="000F70A3" w:rsidP="007B39CE">
            <w:pPr>
              <w:pStyle w:val="705TableheadgroupTablesTableFigureBoxstyles"/>
            </w:pPr>
            <w:r w:rsidRPr="000F70A3">
              <w:t>Placebo</w:t>
            </w:r>
          </w:p>
        </w:tc>
      </w:tr>
      <w:tr w:rsidR="000F70A3" w:rsidRPr="000F70A3" w14:paraId="6A23FE37" w14:textId="77777777" w:rsidTr="0059567E">
        <w:trPr>
          <w:cantSplit/>
        </w:trPr>
        <w:tc>
          <w:tcPr>
            <w:tcW w:w="0" w:type="auto"/>
            <w:shd w:val="clear" w:color="auto" w:fill="D5DCE4"/>
          </w:tcPr>
          <w:p w14:paraId="799EC32A" w14:textId="77777777" w:rsidR="000F70A3" w:rsidRPr="000F70A3" w:rsidRDefault="000F70A3" w:rsidP="007B39CE">
            <w:pPr>
              <w:pStyle w:val="710TableheadTablesTableFigureBoxstyles"/>
            </w:pPr>
          </w:p>
        </w:tc>
        <w:tc>
          <w:tcPr>
            <w:tcW w:w="0" w:type="auto"/>
            <w:gridSpan w:val="4"/>
            <w:shd w:val="clear" w:color="auto" w:fill="D5DCE4"/>
          </w:tcPr>
          <w:p w14:paraId="5AB215A5" w14:textId="77777777" w:rsidR="000F70A3" w:rsidRPr="000F70A3" w:rsidRDefault="000F70A3" w:rsidP="007B39CE">
            <w:pPr>
              <w:pStyle w:val="705TableheadgroupTablesTableFigureBoxstyles"/>
            </w:pPr>
          </w:p>
        </w:tc>
        <w:tc>
          <w:tcPr>
            <w:tcW w:w="0" w:type="auto"/>
            <w:gridSpan w:val="4"/>
            <w:shd w:val="clear" w:color="auto" w:fill="D5DCE4"/>
          </w:tcPr>
          <w:p w14:paraId="7CF550A6" w14:textId="77777777" w:rsidR="000F70A3" w:rsidRPr="000F70A3" w:rsidRDefault="000F70A3" w:rsidP="007B39CE">
            <w:pPr>
              <w:pStyle w:val="705TableheadgroupTablesTableFigureBoxstyles"/>
            </w:pPr>
          </w:p>
        </w:tc>
      </w:tr>
      <w:tr w:rsidR="000F70A3" w:rsidRPr="000F70A3" w14:paraId="5912D6C0" w14:textId="77777777" w:rsidTr="0059567E">
        <w:trPr>
          <w:cantSplit/>
        </w:trPr>
        <w:tc>
          <w:tcPr>
            <w:tcW w:w="0" w:type="auto"/>
            <w:shd w:val="clear" w:color="auto" w:fill="D5DCE4"/>
          </w:tcPr>
          <w:p w14:paraId="01DC8563" w14:textId="77777777" w:rsidR="000F70A3" w:rsidRPr="000F70A3" w:rsidRDefault="000F70A3" w:rsidP="007B39CE">
            <w:pPr>
              <w:pStyle w:val="710TableheadTablesTableFigureBoxstyles"/>
            </w:pPr>
          </w:p>
        </w:tc>
        <w:tc>
          <w:tcPr>
            <w:tcW w:w="0" w:type="auto"/>
            <w:shd w:val="clear" w:color="auto" w:fill="D5DCE4"/>
          </w:tcPr>
          <w:p w14:paraId="03F5CEAE" w14:textId="77777777" w:rsidR="000F70A3" w:rsidRPr="000F70A3" w:rsidRDefault="000F70A3" w:rsidP="007B39CE">
            <w:pPr>
              <w:pStyle w:val="710TableheadTablesTableFigureBoxstyles"/>
            </w:pPr>
            <w:r w:rsidRPr="000F70A3">
              <w:t>Baseline</w:t>
            </w:r>
          </w:p>
        </w:tc>
        <w:tc>
          <w:tcPr>
            <w:tcW w:w="0" w:type="auto"/>
            <w:shd w:val="clear" w:color="auto" w:fill="D5DCE4"/>
          </w:tcPr>
          <w:p w14:paraId="0806A708" w14:textId="77777777" w:rsidR="000F70A3" w:rsidRPr="000F70A3" w:rsidRDefault="000F70A3" w:rsidP="007B39CE">
            <w:pPr>
              <w:pStyle w:val="710TableheadTablesTableFigureBoxstyles"/>
            </w:pPr>
            <w:r w:rsidRPr="000F70A3">
              <w:t>3 Months</w:t>
            </w:r>
          </w:p>
        </w:tc>
        <w:tc>
          <w:tcPr>
            <w:tcW w:w="0" w:type="auto"/>
            <w:shd w:val="clear" w:color="auto" w:fill="D5DCE4"/>
          </w:tcPr>
          <w:p w14:paraId="0242A2C3" w14:textId="77777777" w:rsidR="000F70A3" w:rsidRPr="000F70A3" w:rsidRDefault="000F70A3" w:rsidP="007B39CE">
            <w:pPr>
              <w:pStyle w:val="710TableheadTablesTableFigureBoxstyles"/>
            </w:pPr>
            <w:r w:rsidRPr="000F70A3">
              <w:t>6 Months</w:t>
            </w:r>
          </w:p>
        </w:tc>
        <w:tc>
          <w:tcPr>
            <w:tcW w:w="0" w:type="auto"/>
            <w:shd w:val="clear" w:color="auto" w:fill="D5DCE4"/>
          </w:tcPr>
          <w:p w14:paraId="516AB449" w14:textId="77777777" w:rsidR="000F70A3" w:rsidRPr="000F70A3" w:rsidRDefault="000F70A3" w:rsidP="007B39CE">
            <w:pPr>
              <w:pStyle w:val="710TableheadTablesTableFigureBoxstyles"/>
            </w:pPr>
            <w:r w:rsidRPr="000F70A3">
              <w:t>12 Months</w:t>
            </w:r>
          </w:p>
        </w:tc>
        <w:tc>
          <w:tcPr>
            <w:tcW w:w="0" w:type="auto"/>
            <w:shd w:val="clear" w:color="auto" w:fill="D5DCE4"/>
          </w:tcPr>
          <w:p w14:paraId="05933639" w14:textId="77777777" w:rsidR="000F70A3" w:rsidRPr="000F70A3" w:rsidRDefault="000F70A3" w:rsidP="007B39CE">
            <w:pPr>
              <w:pStyle w:val="710TableheadTablesTableFigureBoxstyles"/>
            </w:pPr>
            <w:r w:rsidRPr="000F70A3">
              <w:t>Baseline</w:t>
            </w:r>
          </w:p>
        </w:tc>
        <w:tc>
          <w:tcPr>
            <w:tcW w:w="0" w:type="auto"/>
            <w:shd w:val="clear" w:color="auto" w:fill="D5DCE4"/>
          </w:tcPr>
          <w:p w14:paraId="7B93DE81" w14:textId="77777777" w:rsidR="000F70A3" w:rsidRPr="000F70A3" w:rsidRDefault="000F70A3" w:rsidP="007B39CE">
            <w:pPr>
              <w:pStyle w:val="710TableheadTablesTableFigureBoxstyles"/>
            </w:pPr>
            <w:r w:rsidRPr="000F70A3">
              <w:t>3 Months</w:t>
            </w:r>
          </w:p>
        </w:tc>
        <w:tc>
          <w:tcPr>
            <w:tcW w:w="0" w:type="auto"/>
            <w:shd w:val="clear" w:color="auto" w:fill="D5DCE4"/>
          </w:tcPr>
          <w:p w14:paraId="72CBE4BC" w14:textId="77777777" w:rsidR="000F70A3" w:rsidRPr="000F70A3" w:rsidRDefault="000F70A3" w:rsidP="007B39CE">
            <w:pPr>
              <w:pStyle w:val="710TableheadTablesTableFigureBoxstyles"/>
            </w:pPr>
            <w:r w:rsidRPr="000F70A3">
              <w:t>6 Months</w:t>
            </w:r>
          </w:p>
        </w:tc>
        <w:tc>
          <w:tcPr>
            <w:tcW w:w="0" w:type="auto"/>
            <w:shd w:val="clear" w:color="auto" w:fill="D5DCE4"/>
          </w:tcPr>
          <w:p w14:paraId="1312F377" w14:textId="77777777" w:rsidR="000F70A3" w:rsidRPr="000F70A3" w:rsidRDefault="000F70A3" w:rsidP="007B39CE">
            <w:pPr>
              <w:pStyle w:val="710TableheadTablesTableFigureBoxstyles"/>
            </w:pPr>
            <w:r w:rsidRPr="000F70A3">
              <w:t>12 Months</w:t>
            </w:r>
          </w:p>
        </w:tc>
      </w:tr>
      <w:tr w:rsidR="000F70A3" w:rsidRPr="000F70A3" w14:paraId="3862CD6F" w14:textId="77777777" w:rsidTr="0059567E">
        <w:trPr>
          <w:cantSplit/>
        </w:trPr>
        <w:tc>
          <w:tcPr>
            <w:tcW w:w="0" w:type="auto"/>
            <w:shd w:val="clear" w:color="auto" w:fill="D5DCE4"/>
          </w:tcPr>
          <w:p w14:paraId="42C55845" w14:textId="77777777" w:rsidR="000F70A3" w:rsidRPr="000F70A3" w:rsidRDefault="000F70A3" w:rsidP="007B39CE">
            <w:pPr>
              <w:pStyle w:val="710TableheadTablesTableFigureBoxstyles"/>
            </w:pPr>
          </w:p>
        </w:tc>
        <w:tc>
          <w:tcPr>
            <w:tcW w:w="0" w:type="auto"/>
            <w:shd w:val="clear" w:color="auto" w:fill="D5DCE4"/>
          </w:tcPr>
          <w:p w14:paraId="27D824B6" w14:textId="77777777" w:rsidR="000F70A3" w:rsidRPr="000F70A3" w:rsidRDefault="000F70A3" w:rsidP="007B39CE">
            <w:pPr>
              <w:pStyle w:val="710TableheadTablesTableFigureBoxstyles"/>
            </w:pPr>
            <w:r w:rsidRPr="000F70A3">
              <w:t>(N = 114)</w:t>
            </w:r>
          </w:p>
        </w:tc>
        <w:tc>
          <w:tcPr>
            <w:tcW w:w="0" w:type="auto"/>
            <w:shd w:val="clear" w:color="auto" w:fill="D5DCE4"/>
          </w:tcPr>
          <w:p w14:paraId="2A052532" w14:textId="77777777" w:rsidR="000F70A3" w:rsidRPr="000F70A3" w:rsidRDefault="000F70A3" w:rsidP="007B39CE">
            <w:pPr>
              <w:pStyle w:val="710TableheadTablesTableFigureBoxstyles"/>
            </w:pPr>
            <w:r w:rsidRPr="000F70A3">
              <w:t>(N = 55)</w:t>
            </w:r>
          </w:p>
        </w:tc>
        <w:tc>
          <w:tcPr>
            <w:tcW w:w="0" w:type="auto"/>
            <w:shd w:val="clear" w:color="auto" w:fill="D5DCE4"/>
          </w:tcPr>
          <w:p w14:paraId="2270C928" w14:textId="77777777" w:rsidR="000F70A3" w:rsidRPr="000F70A3" w:rsidRDefault="000F70A3" w:rsidP="007B39CE">
            <w:pPr>
              <w:pStyle w:val="710TableheadTablesTableFigureBoxstyles"/>
            </w:pPr>
            <w:r w:rsidRPr="000F70A3">
              <w:t>(N = 47)</w:t>
            </w:r>
          </w:p>
        </w:tc>
        <w:tc>
          <w:tcPr>
            <w:tcW w:w="0" w:type="auto"/>
            <w:shd w:val="clear" w:color="auto" w:fill="D5DCE4"/>
          </w:tcPr>
          <w:p w14:paraId="5BE1BCC6" w14:textId="77777777" w:rsidR="000F70A3" w:rsidRPr="000F70A3" w:rsidRDefault="000F70A3" w:rsidP="007B39CE">
            <w:pPr>
              <w:pStyle w:val="710TableheadTablesTableFigureBoxstyles"/>
            </w:pPr>
            <w:r w:rsidRPr="000F70A3">
              <w:t>(N = 47)</w:t>
            </w:r>
          </w:p>
        </w:tc>
        <w:tc>
          <w:tcPr>
            <w:tcW w:w="0" w:type="auto"/>
            <w:shd w:val="clear" w:color="auto" w:fill="D5DCE4"/>
          </w:tcPr>
          <w:p w14:paraId="7E13EF70" w14:textId="77777777" w:rsidR="000F70A3" w:rsidRPr="000F70A3" w:rsidRDefault="000F70A3" w:rsidP="007B39CE">
            <w:pPr>
              <w:pStyle w:val="710TableheadTablesTableFigureBoxstyles"/>
            </w:pPr>
            <w:r w:rsidRPr="000F70A3">
              <w:t>(N = 111)</w:t>
            </w:r>
          </w:p>
        </w:tc>
        <w:tc>
          <w:tcPr>
            <w:tcW w:w="0" w:type="auto"/>
            <w:shd w:val="clear" w:color="auto" w:fill="D5DCE4"/>
          </w:tcPr>
          <w:p w14:paraId="5DD59106" w14:textId="77777777" w:rsidR="000F70A3" w:rsidRPr="000F70A3" w:rsidRDefault="000F70A3" w:rsidP="007B39CE">
            <w:pPr>
              <w:pStyle w:val="710TableheadTablesTableFigureBoxstyles"/>
            </w:pPr>
            <w:r w:rsidRPr="000F70A3">
              <w:t>(N = 45)</w:t>
            </w:r>
          </w:p>
        </w:tc>
        <w:tc>
          <w:tcPr>
            <w:tcW w:w="0" w:type="auto"/>
            <w:shd w:val="clear" w:color="auto" w:fill="D5DCE4"/>
          </w:tcPr>
          <w:p w14:paraId="65297E66" w14:textId="77777777" w:rsidR="000F70A3" w:rsidRPr="000F70A3" w:rsidRDefault="000F70A3" w:rsidP="007B39CE">
            <w:pPr>
              <w:pStyle w:val="710TableheadTablesTableFigureBoxstyles"/>
            </w:pPr>
            <w:r w:rsidRPr="000F70A3">
              <w:t>(N = 45)</w:t>
            </w:r>
          </w:p>
        </w:tc>
        <w:tc>
          <w:tcPr>
            <w:tcW w:w="0" w:type="auto"/>
            <w:shd w:val="clear" w:color="auto" w:fill="D5DCE4"/>
          </w:tcPr>
          <w:p w14:paraId="03E30C7D" w14:textId="77777777" w:rsidR="000F70A3" w:rsidRPr="000F70A3" w:rsidRDefault="000F70A3" w:rsidP="007B39CE">
            <w:pPr>
              <w:pStyle w:val="710TableheadTablesTableFigureBoxstyles"/>
            </w:pPr>
            <w:r w:rsidRPr="000F70A3">
              <w:t>(N = 46)</w:t>
            </w:r>
          </w:p>
        </w:tc>
      </w:tr>
      <w:tr w:rsidR="000F70A3" w:rsidRPr="000F70A3" w14:paraId="612DFA41" w14:textId="77777777" w:rsidTr="0059567E">
        <w:trPr>
          <w:cantSplit/>
        </w:trPr>
        <w:tc>
          <w:tcPr>
            <w:tcW w:w="0" w:type="auto"/>
            <w:shd w:val="clear" w:color="auto" w:fill="auto"/>
          </w:tcPr>
          <w:p w14:paraId="416FF3BD" w14:textId="77777777" w:rsidR="000F70A3" w:rsidRPr="007B39CE" w:rsidRDefault="000F70A3" w:rsidP="007B39CE">
            <w:pPr>
              <w:pStyle w:val="72TabletextTablesTableFigureBoxstyles"/>
              <w:rPr>
                <w:b/>
              </w:rPr>
            </w:pPr>
            <w:r w:rsidRPr="007B39CE">
              <w:rPr>
                <w:b/>
              </w:rPr>
              <w:t>Haemophilus influenzae</w:t>
            </w:r>
          </w:p>
        </w:tc>
        <w:tc>
          <w:tcPr>
            <w:tcW w:w="0" w:type="auto"/>
            <w:shd w:val="clear" w:color="auto" w:fill="auto"/>
          </w:tcPr>
          <w:p w14:paraId="7EE68062" w14:textId="77777777" w:rsidR="000F70A3" w:rsidRPr="000F70A3" w:rsidRDefault="000F70A3" w:rsidP="007B39CE">
            <w:pPr>
              <w:pStyle w:val="72TabletextTablesTableFigureBoxstyles"/>
            </w:pPr>
            <w:r w:rsidRPr="000F70A3">
              <w:t>20</w:t>
            </w:r>
          </w:p>
        </w:tc>
        <w:tc>
          <w:tcPr>
            <w:tcW w:w="0" w:type="auto"/>
            <w:shd w:val="clear" w:color="auto" w:fill="auto"/>
          </w:tcPr>
          <w:p w14:paraId="6BD830ED" w14:textId="77777777" w:rsidR="000F70A3" w:rsidRPr="000F70A3" w:rsidRDefault="000F70A3" w:rsidP="007B39CE">
            <w:pPr>
              <w:pStyle w:val="72TabletextTablesTableFigureBoxstyles"/>
            </w:pPr>
            <w:r w:rsidRPr="000F70A3">
              <w:t>11</w:t>
            </w:r>
          </w:p>
        </w:tc>
        <w:tc>
          <w:tcPr>
            <w:tcW w:w="0" w:type="auto"/>
            <w:shd w:val="clear" w:color="auto" w:fill="auto"/>
          </w:tcPr>
          <w:p w14:paraId="5FD9E1B7" w14:textId="77777777" w:rsidR="000F70A3" w:rsidRPr="000F70A3" w:rsidRDefault="000F70A3" w:rsidP="007B39CE">
            <w:pPr>
              <w:pStyle w:val="72TabletextTablesTableFigureBoxstyles"/>
            </w:pPr>
            <w:r w:rsidRPr="000F70A3">
              <w:t>7</w:t>
            </w:r>
          </w:p>
        </w:tc>
        <w:tc>
          <w:tcPr>
            <w:tcW w:w="0" w:type="auto"/>
            <w:shd w:val="clear" w:color="auto" w:fill="auto"/>
          </w:tcPr>
          <w:p w14:paraId="44B51FCB" w14:textId="77777777" w:rsidR="000F70A3" w:rsidRPr="000F70A3" w:rsidRDefault="000F70A3" w:rsidP="007B39CE">
            <w:pPr>
              <w:pStyle w:val="72TabletextTablesTableFigureBoxstyles"/>
            </w:pPr>
            <w:r w:rsidRPr="000F70A3">
              <w:t>6</w:t>
            </w:r>
          </w:p>
        </w:tc>
        <w:tc>
          <w:tcPr>
            <w:tcW w:w="0" w:type="auto"/>
            <w:shd w:val="clear" w:color="auto" w:fill="auto"/>
          </w:tcPr>
          <w:p w14:paraId="73918150" w14:textId="77777777" w:rsidR="000F70A3" w:rsidRPr="000F70A3" w:rsidRDefault="000F70A3" w:rsidP="007B39CE">
            <w:pPr>
              <w:pStyle w:val="72TabletextTablesTableFigureBoxstyles"/>
            </w:pPr>
            <w:r w:rsidRPr="000F70A3">
              <w:t>32</w:t>
            </w:r>
          </w:p>
        </w:tc>
        <w:tc>
          <w:tcPr>
            <w:tcW w:w="0" w:type="auto"/>
            <w:shd w:val="clear" w:color="auto" w:fill="auto"/>
          </w:tcPr>
          <w:p w14:paraId="301AE0B6" w14:textId="77777777" w:rsidR="000F70A3" w:rsidRPr="000F70A3" w:rsidRDefault="000F70A3" w:rsidP="007B39CE">
            <w:pPr>
              <w:pStyle w:val="72TabletextTablesTableFigureBoxstyles"/>
            </w:pPr>
            <w:r w:rsidRPr="000F70A3">
              <w:t>10</w:t>
            </w:r>
          </w:p>
        </w:tc>
        <w:tc>
          <w:tcPr>
            <w:tcW w:w="0" w:type="auto"/>
            <w:shd w:val="clear" w:color="auto" w:fill="auto"/>
          </w:tcPr>
          <w:p w14:paraId="122B6955" w14:textId="77777777" w:rsidR="000F70A3" w:rsidRPr="000F70A3" w:rsidRDefault="000F70A3" w:rsidP="007B39CE">
            <w:pPr>
              <w:pStyle w:val="72TabletextTablesTableFigureBoxstyles"/>
            </w:pPr>
            <w:r w:rsidRPr="000F70A3">
              <w:t>12</w:t>
            </w:r>
          </w:p>
        </w:tc>
        <w:tc>
          <w:tcPr>
            <w:tcW w:w="0" w:type="auto"/>
            <w:shd w:val="clear" w:color="auto" w:fill="auto"/>
          </w:tcPr>
          <w:p w14:paraId="267492BC" w14:textId="77777777" w:rsidR="000F70A3" w:rsidRPr="000F70A3" w:rsidRDefault="000F70A3" w:rsidP="007B39CE">
            <w:pPr>
              <w:pStyle w:val="72TabletextTablesTableFigureBoxstyles"/>
            </w:pPr>
            <w:r w:rsidRPr="000F70A3">
              <w:t>6</w:t>
            </w:r>
          </w:p>
        </w:tc>
      </w:tr>
      <w:tr w:rsidR="000F70A3" w:rsidRPr="000F70A3" w14:paraId="46A2567E" w14:textId="77777777" w:rsidTr="0059567E">
        <w:trPr>
          <w:cantSplit/>
        </w:trPr>
        <w:tc>
          <w:tcPr>
            <w:tcW w:w="0" w:type="auto"/>
            <w:shd w:val="clear" w:color="auto" w:fill="auto"/>
          </w:tcPr>
          <w:p w14:paraId="3BE68627" w14:textId="77777777" w:rsidR="000F70A3" w:rsidRPr="007B39CE" w:rsidRDefault="000F70A3" w:rsidP="007B39CE">
            <w:pPr>
              <w:pStyle w:val="72TabletextTablesTableFigureBoxstyles"/>
              <w:rPr>
                <w:b/>
              </w:rPr>
            </w:pPr>
            <w:r w:rsidRPr="007B39CE">
              <w:rPr>
                <w:b/>
              </w:rPr>
              <w:t>Streptococcus pneumoniae</w:t>
            </w:r>
          </w:p>
        </w:tc>
        <w:tc>
          <w:tcPr>
            <w:tcW w:w="0" w:type="auto"/>
            <w:shd w:val="clear" w:color="auto" w:fill="auto"/>
          </w:tcPr>
          <w:p w14:paraId="15B54749" w14:textId="77777777" w:rsidR="000F70A3" w:rsidRPr="000F70A3" w:rsidRDefault="000F70A3" w:rsidP="007B39CE">
            <w:pPr>
              <w:pStyle w:val="72TabletextTablesTableFigureBoxstyles"/>
            </w:pPr>
            <w:r w:rsidRPr="000F70A3">
              <w:t>1</w:t>
            </w:r>
          </w:p>
        </w:tc>
        <w:tc>
          <w:tcPr>
            <w:tcW w:w="0" w:type="auto"/>
            <w:shd w:val="clear" w:color="auto" w:fill="auto"/>
          </w:tcPr>
          <w:p w14:paraId="667C6913" w14:textId="77777777" w:rsidR="000F70A3" w:rsidRPr="000F70A3" w:rsidRDefault="000F70A3" w:rsidP="007B39CE">
            <w:pPr>
              <w:pStyle w:val="72TabletextTablesTableFigureBoxstyles"/>
            </w:pPr>
            <w:r w:rsidRPr="000F70A3">
              <w:t>1</w:t>
            </w:r>
          </w:p>
        </w:tc>
        <w:tc>
          <w:tcPr>
            <w:tcW w:w="0" w:type="auto"/>
            <w:shd w:val="clear" w:color="auto" w:fill="auto"/>
          </w:tcPr>
          <w:p w14:paraId="4DD7E886" w14:textId="77777777" w:rsidR="000F70A3" w:rsidRPr="000F70A3" w:rsidRDefault="000F70A3" w:rsidP="007B39CE">
            <w:pPr>
              <w:pStyle w:val="72TabletextTablesTableFigureBoxstyles"/>
            </w:pPr>
            <w:r w:rsidRPr="000F70A3">
              <w:t>0</w:t>
            </w:r>
          </w:p>
        </w:tc>
        <w:tc>
          <w:tcPr>
            <w:tcW w:w="0" w:type="auto"/>
            <w:shd w:val="clear" w:color="auto" w:fill="auto"/>
          </w:tcPr>
          <w:p w14:paraId="6F0048B9" w14:textId="77777777" w:rsidR="000F70A3" w:rsidRPr="000F70A3" w:rsidRDefault="000F70A3" w:rsidP="007B39CE">
            <w:pPr>
              <w:pStyle w:val="72TabletextTablesTableFigureBoxstyles"/>
            </w:pPr>
            <w:r w:rsidRPr="000F70A3">
              <w:t>0</w:t>
            </w:r>
          </w:p>
        </w:tc>
        <w:tc>
          <w:tcPr>
            <w:tcW w:w="0" w:type="auto"/>
            <w:shd w:val="clear" w:color="auto" w:fill="auto"/>
          </w:tcPr>
          <w:p w14:paraId="78F2DE8F" w14:textId="77777777" w:rsidR="000F70A3" w:rsidRPr="000F70A3" w:rsidRDefault="000F70A3" w:rsidP="007B39CE">
            <w:pPr>
              <w:pStyle w:val="72TabletextTablesTableFigureBoxstyles"/>
            </w:pPr>
            <w:r w:rsidRPr="000F70A3">
              <w:t>0</w:t>
            </w:r>
          </w:p>
        </w:tc>
        <w:tc>
          <w:tcPr>
            <w:tcW w:w="0" w:type="auto"/>
            <w:shd w:val="clear" w:color="auto" w:fill="auto"/>
          </w:tcPr>
          <w:p w14:paraId="18510FCF" w14:textId="77777777" w:rsidR="000F70A3" w:rsidRPr="000F70A3" w:rsidRDefault="000F70A3" w:rsidP="007B39CE">
            <w:pPr>
              <w:pStyle w:val="72TabletextTablesTableFigureBoxstyles"/>
            </w:pPr>
            <w:r w:rsidRPr="000F70A3">
              <w:t>0</w:t>
            </w:r>
          </w:p>
        </w:tc>
        <w:tc>
          <w:tcPr>
            <w:tcW w:w="0" w:type="auto"/>
            <w:shd w:val="clear" w:color="auto" w:fill="auto"/>
          </w:tcPr>
          <w:p w14:paraId="78D8356A" w14:textId="77777777" w:rsidR="000F70A3" w:rsidRPr="000F70A3" w:rsidRDefault="000F70A3" w:rsidP="007B39CE">
            <w:pPr>
              <w:pStyle w:val="72TabletextTablesTableFigureBoxstyles"/>
            </w:pPr>
            <w:r w:rsidRPr="000F70A3">
              <w:t>0</w:t>
            </w:r>
          </w:p>
        </w:tc>
        <w:tc>
          <w:tcPr>
            <w:tcW w:w="0" w:type="auto"/>
            <w:shd w:val="clear" w:color="auto" w:fill="auto"/>
          </w:tcPr>
          <w:p w14:paraId="19860CB6" w14:textId="77777777" w:rsidR="000F70A3" w:rsidRPr="000F70A3" w:rsidRDefault="000F70A3" w:rsidP="007B39CE">
            <w:pPr>
              <w:pStyle w:val="72TabletextTablesTableFigureBoxstyles"/>
            </w:pPr>
            <w:r w:rsidRPr="000F70A3">
              <w:t>0</w:t>
            </w:r>
          </w:p>
        </w:tc>
      </w:tr>
      <w:tr w:rsidR="000F70A3" w:rsidRPr="000F70A3" w14:paraId="3D1FDA41" w14:textId="77777777" w:rsidTr="0059567E">
        <w:trPr>
          <w:cantSplit/>
        </w:trPr>
        <w:tc>
          <w:tcPr>
            <w:tcW w:w="0" w:type="auto"/>
            <w:shd w:val="clear" w:color="auto" w:fill="auto"/>
          </w:tcPr>
          <w:p w14:paraId="5CDCF856" w14:textId="77777777" w:rsidR="000F70A3" w:rsidRPr="007B39CE" w:rsidRDefault="000F70A3" w:rsidP="007B39CE">
            <w:pPr>
              <w:pStyle w:val="72TabletextTablesTableFigureBoxstyles"/>
              <w:rPr>
                <w:b/>
              </w:rPr>
            </w:pPr>
            <w:r w:rsidRPr="007B39CE">
              <w:rPr>
                <w:b/>
                <w:i/>
                <w:color w:val="00B0F0"/>
              </w:rPr>
              <w:t>Staphylococcus aureus</w:t>
            </w:r>
          </w:p>
        </w:tc>
        <w:tc>
          <w:tcPr>
            <w:tcW w:w="0" w:type="auto"/>
            <w:shd w:val="clear" w:color="auto" w:fill="auto"/>
          </w:tcPr>
          <w:p w14:paraId="242FEFE8" w14:textId="77777777" w:rsidR="000F70A3" w:rsidRPr="000F70A3" w:rsidRDefault="000F70A3" w:rsidP="007B39CE">
            <w:pPr>
              <w:pStyle w:val="72TabletextTablesTableFigureBoxstyles"/>
            </w:pPr>
            <w:r w:rsidRPr="000F70A3">
              <w:t>4</w:t>
            </w:r>
          </w:p>
        </w:tc>
        <w:tc>
          <w:tcPr>
            <w:tcW w:w="0" w:type="auto"/>
            <w:shd w:val="clear" w:color="auto" w:fill="auto"/>
          </w:tcPr>
          <w:p w14:paraId="5E136A00" w14:textId="77777777" w:rsidR="000F70A3" w:rsidRPr="000F70A3" w:rsidRDefault="000F70A3" w:rsidP="007B39CE">
            <w:pPr>
              <w:pStyle w:val="72TabletextTablesTableFigureBoxstyles"/>
            </w:pPr>
            <w:r w:rsidRPr="000F70A3">
              <w:t>1</w:t>
            </w:r>
          </w:p>
        </w:tc>
        <w:tc>
          <w:tcPr>
            <w:tcW w:w="0" w:type="auto"/>
            <w:shd w:val="clear" w:color="auto" w:fill="auto"/>
          </w:tcPr>
          <w:p w14:paraId="29D67039" w14:textId="77777777" w:rsidR="000F70A3" w:rsidRPr="000F70A3" w:rsidRDefault="000F70A3" w:rsidP="007B39CE">
            <w:pPr>
              <w:pStyle w:val="72TabletextTablesTableFigureBoxstyles"/>
            </w:pPr>
            <w:r w:rsidRPr="000F70A3">
              <w:t>2</w:t>
            </w:r>
          </w:p>
        </w:tc>
        <w:tc>
          <w:tcPr>
            <w:tcW w:w="0" w:type="auto"/>
            <w:shd w:val="clear" w:color="auto" w:fill="auto"/>
          </w:tcPr>
          <w:p w14:paraId="229BF59A" w14:textId="77777777" w:rsidR="000F70A3" w:rsidRPr="000F70A3" w:rsidRDefault="000F70A3" w:rsidP="007B39CE">
            <w:pPr>
              <w:pStyle w:val="72TabletextTablesTableFigureBoxstyles"/>
            </w:pPr>
            <w:r w:rsidRPr="000F70A3">
              <w:t>0</w:t>
            </w:r>
          </w:p>
        </w:tc>
        <w:tc>
          <w:tcPr>
            <w:tcW w:w="0" w:type="auto"/>
            <w:shd w:val="clear" w:color="auto" w:fill="auto"/>
          </w:tcPr>
          <w:p w14:paraId="5429E5F1" w14:textId="77777777" w:rsidR="000F70A3" w:rsidRPr="000F70A3" w:rsidRDefault="000F70A3" w:rsidP="007B39CE">
            <w:pPr>
              <w:pStyle w:val="72TabletextTablesTableFigureBoxstyles"/>
            </w:pPr>
            <w:r w:rsidRPr="000F70A3">
              <w:t>1</w:t>
            </w:r>
          </w:p>
        </w:tc>
        <w:tc>
          <w:tcPr>
            <w:tcW w:w="0" w:type="auto"/>
            <w:shd w:val="clear" w:color="auto" w:fill="auto"/>
          </w:tcPr>
          <w:p w14:paraId="666735F3" w14:textId="77777777" w:rsidR="000F70A3" w:rsidRPr="000F70A3" w:rsidRDefault="000F70A3" w:rsidP="007B39CE">
            <w:pPr>
              <w:pStyle w:val="72TabletextTablesTableFigureBoxstyles"/>
            </w:pPr>
            <w:r w:rsidRPr="000F70A3">
              <w:t>1</w:t>
            </w:r>
          </w:p>
        </w:tc>
        <w:tc>
          <w:tcPr>
            <w:tcW w:w="0" w:type="auto"/>
            <w:shd w:val="clear" w:color="auto" w:fill="auto"/>
          </w:tcPr>
          <w:p w14:paraId="208D9E98" w14:textId="77777777" w:rsidR="000F70A3" w:rsidRPr="000F70A3" w:rsidRDefault="000F70A3" w:rsidP="007B39CE">
            <w:pPr>
              <w:pStyle w:val="72TabletextTablesTableFigureBoxstyles"/>
            </w:pPr>
            <w:r w:rsidRPr="000F70A3">
              <w:t>0</w:t>
            </w:r>
          </w:p>
        </w:tc>
        <w:tc>
          <w:tcPr>
            <w:tcW w:w="0" w:type="auto"/>
            <w:shd w:val="clear" w:color="auto" w:fill="auto"/>
          </w:tcPr>
          <w:p w14:paraId="7409F599" w14:textId="77777777" w:rsidR="000F70A3" w:rsidRPr="000F70A3" w:rsidRDefault="000F70A3" w:rsidP="007B39CE">
            <w:pPr>
              <w:pStyle w:val="72TabletextTablesTableFigureBoxstyles"/>
            </w:pPr>
            <w:r w:rsidRPr="000F70A3">
              <w:t>0</w:t>
            </w:r>
          </w:p>
        </w:tc>
      </w:tr>
      <w:tr w:rsidR="000F70A3" w:rsidRPr="000F70A3" w14:paraId="5EBB2F18" w14:textId="77777777" w:rsidTr="0059567E">
        <w:trPr>
          <w:cantSplit/>
        </w:trPr>
        <w:tc>
          <w:tcPr>
            <w:tcW w:w="0" w:type="auto"/>
            <w:shd w:val="clear" w:color="auto" w:fill="auto"/>
          </w:tcPr>
          <w:p w14:paraId="0A04CA35" w14:textId="77777777" w:rsidR="000F70A3" w:rsidRPr="007B39CE" w:rsidRDefault="000F70A3" w:rsidP="007B39CE">
            <w:pPr>
              <w:pStyle w:val="72TabletextTablesTableFigureBoxstyles"/>
              <w:rPr>
                <w:b/>
              </w:rPr>
            </w:pPr>
            <w:r w:rsidRPr="007B39CE">
              <w:rPr>
                <w:b/>
              </w:rPr>
              <w:t>Group A Streptococcus</w:t>
            </w:r>
          </w:p>
        </w:tc>
        <w:tc>
          <w:tcPr>
            <w:tcW w:w="0" w:type="auto"/>
            <w:shd w:val="clear" w:color="auto" w:fill="auto"/>
          </w:tcPr>
          <w:p w14:paraId="74CDF784" w14:textId="77777777" w:rsidR="000F70A3" w:rsidRPr="000F70A3" w:rsidRDefault="000F70A3" w:rsidP="007B39CE">
            <w:pPr>
              <w:pStyle w:val="72TabletextTablesTableFigureBoxstyles"/>
            </w:pPr>
            <w:r w:rsidRPr="000F70A3">
              <w:t>3</w:t>
            </w:r>
          </w:p>
        </w:tc>
        <w:tc>
          <w:tcPr>
            <w:tcW w:w="0" w:type="auto"/>
            <w:shd w:val="clear" w:color="auto" w:fill="auto"/>
          </w:tcPr>
          <w:p w14:paraId="1C9D7FDC" w14:textId="77777777" w:rsidR="000F70A3" w:rsidRPr="000F70A3" w:rsidRDefault="000F70A3" w:rsidP="007B39CE">
            <w:pPr>
              <w:pStyle w:val="72TabletextTablesTableFigureBoxstyles"/>
            </w:pPr>
            <w:r w:rsidRPr="000F70A3">
              <w:t>3</w:t>
            </w:r>
          </w:p>
        </w:tc>
        <w:tc>
          <w:tcPr>
            <w:tcW w:w="0" w:type="auto"/>
            <w:shd w:val="clear" w:color="auto" w:fill="auto"/>
          </w:tcPr>
          <w:p w14:paraId="613EECF7" w14:textId="77777777" w:rsidR="000F70A3" w:rsidRPr="000F70A3" w:rsidRDefault="000F70A3" w:rsidP="007B39CE">
            <w:pPr>
              <w:pStyle w:val="72TabletextTablesTableFigureBoxstyles"/>
            </w:pPr>
            <w:r w:rsidRPr="000F70A3">
              <w:t>0</w:t>
            </w:r>
          </w:p>
        </w:tc>
        <w:tc>
          <w:tcPr>
            <w:tcW w:w="0" w:type="auto"/>
            <w:shd w:val="clear" w:color="auto" w:fill="auto"/>
          </w:tcPr>
          <w:p w14:paraId="4615BBF6" w14:textId="77777777" w:rsidR="000F70A3" w:rsidRPr="000F70A3" w:rsidRDefault="000F70A3" w:rsidP="007B39CE">
            <w:pPr>
              <w:pStyle w:val="72TabletextTablesTableFigureBoxstyles"/>
            </w:pPr>
            <w:r w:rsidRPr="000F70A3">
              <w:t>0</w:t>
            </w:r>
          </w:p>
        </w:tc>
        <w:tc>
          <w:tcPr>
            <w:tcW w:w="0" w:type="auto"/>
            <w:shd w:val="clear" w:color="auto" w:fill="auto"/>
          </w:tcPr>
          <w:p w14:paraId="4AD8AC5A" w14:textId="77777777" w:rsidR="000F70A3" w:rsidRPr="000F70A3" w:rsidRDefault="000F70A3" w:rsidP="007B39CE">
            <w:pPr>
              <w:pStyle w:val="72TabletextTablesTableFigureBoxstyles"/>
            </w:pPr>
            <w:r w:rsidRPr="000F70A3">
              <w:t>3</w:t>
            </w:r>
          </w:p>
        </w:tc>
        <w:tc>
          <w:tcPr>
            <w:tcW w:w="0" w:type="auto"/>
            <w:shd w:val="clear" w:color="auto" w:fill="auto"/>
          </w:tcPr>
          <w:p w14:paraId="7558C651" w14:textId="77777777" w:rsidR="000F70A3" w:rsidRPr="000F70A3" w:rsidRDefault="000F70A3" w:rsidP="007B39CE">
            <w:pPr>
              <w:pStyle w:val="72TabletextTablesTableFigureBoxstyles"/>
            </w:pPr>
            <w:r w:rsidRPr="000F70A3">
              <w:t>6</w:t>
            </w:r>
          </w:p>
        </w:tc>
        <w:tc>
          <w:tcPr>
            <w:tcW w:w="0" w:type="auto"/>
            <w:shd w:val="clear" w:color="auto" w:fill="auto"/>
          </w:tcPr>
          <w:p w14:paraId="69BD1885" w14:textId="77777777" w:rsidR="000F70A3" w:rsidRPr="000F70A3" w:rsidRDefault="000F70A3" w:rsidP="007B39CE">
            <w:pPr>
              <w:pStyle w:val="72TabletextTablesTableFigureBoxstyles"/>
            </w:pPr>
            <w:r w:rsidRPr="000F70A3">
              <w:t>1</w:t>
            </w:r>
          </w:p>
        </w:tc>
        <w:tc>
          <w:tcPr>
            <w:tcW w:w="0" w:type="auto"/>
            <w:shd w:val="clear" w:color="auto" w:fill="auto"/>
          </w:tcPr>
          <w:p w14:paraId="16629357" w14:textId="77777777" w:rsidR="000F70A3" w:rsidRPr="000F70A3" w:rsidRDefault="000F70A3" w:rsidP="007B39CE">
            <w:pPr>
              <w:pStyle w:val="72TabletextTablesTableFigureBoxstyles"/>
            </w:pPr>
            <w:r w:rsidRPr="000F70A3">
              <w:t>1</w:t>
            </w:r>
          </w:p>
        </w:tc>
      </w:tr>
      <w:tr w:rsidR="000F70A3" w:rsidRPr="000F70A3" w14:paraId="42C7B8D6" w14:textId="77777777" w:rsidTr="0059567E">
        <w:trPr>
          <w:cantSplit/>
        </w:trPr>
        <w:tc>
          <w:tcPr>
            <w:tcW w:w="0" w:type="auto"/>
            <w:shd w:val="clear" w:color="auto" w:fill="auto"/>
          </w:tcPr>
          <w:p w14:paraId="4E0A984A" w14:textId="77777777" w:rsidR="000F70A3" w:rsidRPr="007B39CE" w:rsidRDefault="000F70A3" w:rsidP="007B39CE">
            <w:pPr>
              <w:pStyle w:val="72TabletextTablesTableFigureBoxstyles"/>
              <w:rPr>
                <w:b/>
              </w:rPr>
            </w:pPr>
            <w:r w:rsidRPr="007B39CE">
              <w:rPr>
                <w:b/>
              </w:rPr>
              <w:t>Group C Streptococcus</w:t>
            </w:r>
          </w:p>
        </w:tc>
        <w:tc>
          <w:tcPr>
            <w:tcW w:w="0" w:type="auto"/>
            <w:shd w:val="clear" w:color="auto" w:fill="auto"/>
          </w:tcPr>
          <w:p w14:paraId="0781304B" w14:textId="77777777" w:rsidR="000F70A3" w:rsidRPr="000F70A3" w:rsidRDefault="000F70A3" w:rsidP="007B39CE">
            <w:pPr>
              <w:pStyle w:val="72TabletextTablesTableFigureBoxstyles"/>
            </w:pPr>
            <w:r w:rsidRPr="000F70A3">
              <w:t>1</w:t>
            </w:r>
          </w:p>
        </w:tc>
        <w:tc>
          <w:tcPr>
            <w:tcW w:w="0" w:type="auto"/>
            <w:shd w:val="clear" w:color="auto" w:fill="auto"/>
          </w:tcPr>
          <w:p w14:paraId="022665D2" w14:textId="77777777" w:rsidR="000F70A3" w:rsidRPr="000F70A3" w:rsidRDefault="000F70A3" w:rsidP="007B39CE">
            <w:pPr>
              <w:pStyle w:val="72TabletextTablesTableFigureBoxstyles"/>
            </w:pPr>
            <w:r w:rsidRPr="000F70A3">
              <w:t>0</w:t>
            </w:r>
          </w:p>
        </w:tc>
        <w:tc>
          <w:tcPr>
            <w:tcW w:w="0" w:type="auto"/>
            <w:shd w:val="clear" w:color="auto" w:fill="auto"/>
          </w:tcPr>
          <w:p w14:paraId="161CE216" w14:textId="77777777" w:rsidR="000F70A3" w:rsidRPr="000F70A3" w:rsidRDefault="000F70A3" w:rsidP="007B39CE">
            <w:pPr>
              <w:pStyle w:val="72TabletextTablesTableFigureBoxstyles"/>
            </w:pPr>
            <w:r w:rsidRPr="000F70A3">
              <w:t>0</w:t>
            </w:r>
          </w:p>
        </w:tc>
        <w:tc>
          <w:tcPr>
            <w:tcW w:w="0" w:type="auto"/>
            <w:shd w:val="clear" w:color="auto" w:fill="auto"/>
          </w:tcPr>
          <w:p w14:paraId="6D1A33B1" w14:textId="77777777" w:rsidR="000F70A3" w:rsidRPr="000F70A3" w:rsidRDefault="000F70A3" w:rsidP="007B39CE">
            <w:pPr>
              <w:pStyle w:val="72TabletextTablesTableFigureBoxstyles"/>
            </w:pPr>
            <w:r w:rsidRPr="000F70A3">
              <w:t>0</w:t>
            </w:r>
          </w:p>
        </w:tc>
        <w:tc>
          <w:tcPr>
            <w:tcW w:w="0" w:type="auto"/>
            <w:shd w:val="clear" w:color="auto" w:fill="auto"/>
          </w:tcPr>
          <w:p w14:paraId="213E0C02" w14:textId="77777777" w:rsidR="000F70A3" w:rsidRPr="000F70A3" w:rsidRDefault="000F70A3" w:rsidP="007B39CE">
            <w:pPr>
              <w:pStyle w:val="72TabletextTablesTableFigureBoxstyles"/>
            </w:pPr>
            <w:r w:rsidRPr="000F70A3">
              <w:t>0</w:t>
            </w:r>
          </w:p>
        </w:tc>
        <w:tc>
          <w:tcPr>
            <w:tcW w:w="0" w:type="auto"/>
            <w:shd w:val="clear" w:color="auto" w:fill="auto"/>
          </w:tcPr>
          <w:p w14:paraId="645F6232" w14:textId="77777777" w:rsidR="000F70A3" w:rsidRPr="000F70A3" w:rsidRDefault="000F70A3" w:rsidP="007B39CE">
            <w:pPr>
              <w:pStyle w:val="72TabletextTablesTableFigureBoxstyles"/>
            </w:pPr>
            <w:r w:rsidRPr="000F70A3">
              <w:t>0</w:t>
            </w:r>
          </w:p>
        </w:tc>
        <w:tc>
          <w:tcPr>
            <w:tcW w:w="0" w:type="auto"/>
            <w:shd w:val="clear" w:color="auto" w:fill="auto"/>
          </w:tcPr>
          <w:p w14:paraId="3A46FE38" w14:textId="77777777" w:rsidR="000F70A3" w:rsidRPr="000F70A3" w:rsidRDefault="000F70A3" w:rsidP="007B39CE">
            <w:pPr>
              <w:pStyle w:val="72TabletextTablesTableFigureBoxstyles"/>
            </w:pPr>
            <w:r w:rsidRPr="000F70A3">
              <w:t>0</w:t>
            </w:r>
          </w:p>
        </w:tc>
        <w:tc>
          <w:tcPr>
            <w:tcW w:w="0" w:type="auto"/>
            <w:shd w:val="clear" w:color="auto" w:fill="auto"/>
          </w:tcPr>
          <w:p w14:paraId="50936CF4" w14:textId="77777777" w:rsidR="000F70A3" w:rsidRPr="000F70A3" w:rsidRDefault="000F70A3" w:rsidP="007B39CE">
            <w:pPr>
              <w:pStyle w:val="72TabletextTablesTableFigureBoxstyles"/>
            </w:pPr>
            <w:r w:rsidRPr="000F70A3">
              <w:t>0</w:t>
            </w:r>
          </w:p>
        </w:tc>
      </w:tr>
      <w:tr w:rsidR="000F70A3" w:rsidRPr="000F70A3" w14:paraId="192EAC4E" w14:textId="77777777" w:rsidTr="0059567E">
        <w:trPr>
          <w:cantSplit/>
        </w:trPr>
        <w:tc>
          <w:tcPr>
            <w:tcW w:w="0" w:type="auto"/>
            <w:shd w:val="clear" w:color="auto" w:fill="auto"/>
          </w:tcPr>
          <w:p w14:paraId="030ACEAD" w14:textId="77777777" w:rsidR="000F70A3" w:rsidRPr="007B39CE" w:rsidRDefault="000F70A3" w:rsidP="007B39CE">
            <w:pPr>
              <w:pStyle w:val="72TabletextTablesTableFigureBoxstyles"/>
              <w:rPr>
                <w:b/>
              </w:rPr>
            </w:pPr>
            <w:r w:rsidRPr="007B39CE">
              <w:rPr>
                <w:b/>
              </w:rPr>
              <w:t>Group G Streptococcus</w:t>
            </w:r>
          </w:p>
        </w:tc>
        <w:tc>
          <w:tcPr>
            <w:tcW w:w="0" w:type="auto"/>
            <w:shd w:val="clear" w:color="auto" w:fill="auto"/>
          </w:tcPr>
          <w:p w14:paraId="50A769A9" w14:textId="77777777" w:rsidR="000F70A3" w:rsidRPr="000F70A3" w:rsidRDefault="000F70A3" w:rsidP="007B39CE">
            <w:pPr>
              <w:pStyle w:val="72TabletextTablesTableFigureBoxstyles"/>
            </w:pPr>
            <w:r w:rsidRPr="000F70A3">
              <w:t>0</w:t>
            </w:r>
          </w:p>
        </w:tc>
        <w:tc>
          <w:tcPr>
            <w:tcW w:w="0" w:type="auto"/>
            <w:shd w:val="clear" w:color="auto" w:fill="auto"/>
          </w:tcPr>
          <w:p w14:paraId="418D55AF" w14:textId="77777777" w:rsidR="000F70A3" w:rsidRPr="000F70A3" w:rsidRDefault="000F70A3" w:rsidP="007B39CE">
            <w:pPr>
              <w:pStyle w:val="72TabletextTablesTableFigureBoxstyles"/>
            </w:pPr>
            <w:r w:rsidRPr="000F70A3">
              <w:t>0</w:t>
            </w:r>
          </w:p>
        </w:tc>
        <w:tc>
          <w:tcPr>
            <w:tcW w:w="0" w:type="auto"/>
            <w:shd w:val="clear" w:color="auto" w:fill="auto"/>
          </w:tcPr>
          <w:p w14:paraId="661CEA85" w14:textId="77777777" w:rsidR="000F70A3" w:rsidRPr="000F70A3" w:rsidRDefault="000F70A3" w:rsidP="007B39CE">
            <w:pPr>
              <w:pStyle w:val="72TabletextTablesTableFigureBoxstyles"/>
            </w:pPr>
            <w:r w:rsidRPr="000F70A3">
              <w:t>1</w:t>
            </w:r>
          </w:p>
        </w:tc>
        <w:tc>
          <w:tcPr>
            <w:tcW w:w="0" w:type="auto"/>
            <w:shd w:val="clear" w:color="auto" w:fill="auto"/>
          </w:tcPr>
          <w:p w14:paraId="7E5DE93F" w14:textId="77777777" w:rsidR="000F70A3" w:rsidRPr="000F70A3" w:rsidRDefault="000F70A3" w:rsidP="007B39CE">
            <w:pPr>
              <w:pStyle w:val="72TabletextTablesTableFigureBoxstyles"/>
            </w:pPr>
            <w:r w:rsidRPr="000F70A3">
              <w:t>0</w:t>
            </w:r>
          </w:p>
        </w:tc>
        <w:tc>
          <w:tcPr>
            <w:tcW w:w="0" w:type="auto"/>
            <w:shd w:val="clear" w:color="auto" w:fill="auto"/>
          </w:tcPr>
          <w:p w14:paraId="73CA1C88" w14:textId="77777777" w:rsidR="000F70A3" w:rsidRPr="000F70A3" w:rsidRDefault="000F70A3" w:rsidP="007B39CE">
            <w:pPr>
              <w:pStyle w:val="72TabletextTablesTableFigureBoxstyles"/>
            </w:pPr>
            <w:r w:rsidRPr="000F70A3">
              <w:t>3</w:t>
            </w:r>
          </w:p>
        </w:tc>
        <w:tc>
          <w:tcPr>
            <w:tcW w:w="0" w:type="auto"/>
            <w:shd w:val="clear" w:color="auto" w:fill="auto"/>
          </w:tcPr>
          <w:p w14:paraId="2BB576FB" w14:textId="77777777" w:rsidR="000F70A3" w:rsidRPr="000F70A3" w:rsidRDefault="000F70A3" w:rsidP="007B39CE">
            <w:pPr>
              <w:pStyle w:val="72TabletextTablesTableFigureBoxstyles"/>
            </w:pPr>
            <w:r w:rsidRPr="000F70A3">
              <w:t>0</w:t>
            </w:r>
          </w:p>
        </w:tc>
        <w:tc>
          <w:tcPr>
            <w:tcW w:w="0" w:type="auto"/>
            <w:shd w:val="clear" w:color="auto" w:fill="auto"/>
          </w:tcPr>
          <w:p w14:paraId="6BA25279" w14:textId="77777777" w:rsidR="000F70A3" w:rsidRPr="000F70A3" w:rsidRDefault="000F70A3" w:rsidP="007B39CE">
            <w:pPr>
              <w:pStyle w:val="72TabletextTablesTableFigureBoxstyles"/>
            </w:pPr>
            <w:r w:rsidRPr="000F70A3">
              <w:t>0</w:t>
            </w:r>
          </w:p>
        </w:tc>
        <w:tc>
          <w:tcPr>
            <w:tcW w:w="0" w:type="auto"/>
            <w:shd w:val="clear" w:color="auto" w:fill="auto"/>
          </w:tcPr>
          <w:p w14:paraId="4D42DD40" w14:textId="77777777" w:rsidR="000F70A3" w:rsidRPr="000F70A3" w:rsidRDefault="000F70A3" w:rsidP="007B39CE">
            <w:pPr>
              <w:pStyle w:val="72TabletextTablesTableFigureBoxstyles"/>
            </w:pPr>
            <w:r w:rsidRPr="000F70A3">
              <w:t>0</w:t>
            </w:r>
          </w:p>
        </w:tc>
      </w:tr>
      <w:tr w:rsidR="000F70A3" w:rsidRPr="000F70A3" w14:paraId="1597BD0D" w14:textId="77777777" w:rsidTr="0059567E">
        <w:trPr>
          <w:cantSplit/>
        </w:trPr>
        <w:tc>
          <w:tcPr>
            <w:tcW w:w="0" w:type="auto"/>
            <w:shd w:val="clear" w:color="auto" w:fill="auto"/>
          </w:tcPr>
          <w:p w14:paraId="2E94EDD3" w14:textId="77777777" w:rsidR="000F70A3" w:rsidRPr="007B39CE" w:rsidRDefault="000F70A3" w:rsidP="007B39CE">
            <w:pPr>
              <w:pStyle w:val="72TabletextTablesTableFigureBoxstyles"/>
              <w:rPr>
                <w:b/>
              </w:rPr>
            </w:pPr>
            <w:r w:rsidRPr="007B39CE">
              <w:rPr>
                <w:b/>
              </w:rPr>
              <w:t>MRSA</w:t>
            </w:r>
          </w:p>
        </w:tc>
        <w:tc>
          <w:tcPr>
            <w:tcW w:w="0" w:type="auto"/>
            <w:shd w:val="clear" w:color="auto" w:fill="auto"/>
          </w:tcPr>
          <w:p w14:paraId="2274880D" w14:textId="77777777" w:rsidR="000F70A3" w:rsidRPr="000F70A3" w:rsidRDefault="000F70A3" w:rsidP="007B39CE">
            <w:pPr>
              <w:pStyle w:val="72TabletextTablesTableFigureBoxstyles"/>
            </w:pPr>
            <w:r w:rsidRPr="000F70A3">
              <w:t>0</w:t>
            </w:r>
          </w:p>
        </w:tc>
        <w:tc>
          <w:tcPr>
            <w:tcW w:w="0" w:type="auto"/>
            <w:shd w:val="clear" w:color="auto" w:fill="auto"/>
          </w:tcPr>
          <w:p w14:paraId="6B9430BD" w14:textId="77777777" w:rsidR="000F70A3" w:rsidRPr="000F70A3" w:rsidRDefault="000F70A3" w:rsidP="007B39CE">
            <w:pPr>
              <w:pStyle w:val="72TabletextTablesTableFigureBoxstyles"/>
            </w:pPr>
            <w:r w:rsidRPr="000F70A3">
              <w:t>0</w:t>
            </w:r>
          </w:p>
        </w:tc>
        <w:tc>
          <w:tcPr>
            <w:tcW w:w="0" w:type="auto"/>
            <w:shd w:val="clear" w:color="auto" w:fill="auto"/>
          </w:tcPr>
          <w:p w14:paraId="2F1EB095" w14:textId="77777777" w:rsidR="000F70A3" w:rsidRPr="000F70A3" w:rsidRDefault="000F70A3" w:rsidP="007B39CE">
            <w:pPr>
              <w:pStyle w:val="72TabletextTablesTableFigureBoxstyles"/>
            </w:pPr>
            <w:r w:rsidRPr="000F70A3">
              <w:t>0</w:t>
            </w:r>
          </w:p>
        </w:tc>
        <w:tc>
          <w:tcPr>
            <w:tcW w:w="0" w:type="auto"/>
            <w:shd w:val="clear" w:color="auto" w:fill="auto"/>
          </w:tcPr>
          <w:p w14:paraId="47690996" w14:textId="77777777" w:rsidR="000F70A3" w:rsidRPr="000F70A3" w:rsidRDefault="000F70A3" w:rsidP="007B39CE">
            <w:pPr>
              <w:pStyle w:val="72TabletextTablesTableFigureBoxstyles"/>
            </w:pPr>
            <w:r w:rsidRPr="000F70A3">
              <w:t>0</w:t>
            </w:r>
          </w:p>
        </w:tc>
        <w:tc>
          <w:tcPr>
            <w:tcW w:w="0" w:type="auto"/>
            <w:shd w:val="clear" w:color="auto" w:fill="auto"/>
          </w:tcPr>
          <w:p w14:paraId="23A1A7F2" w14:textId="77777777" w:rsidR="000F70A3" w:rsidRPr="000F70A3" w:rsidRDefault="000F70A3" w:rsidP="007B39CE">
            <w:pPr>
              <w:pStyle w:val="72TabletextTablesTableFigureBoxstyles"/>
            </w:pPr>
            <w:r w:rsidRPr="000F70A3">
              <w:t>1</w:t>
            </w:r>
          </w:p>
        </w:tc>
        <w:tc>
          <w:tcPr>
            <w:tcW w:w="0" w:type="auto"/>
            <w:shd w:val="clear" w:color="auto" w:fill="auto"/>
          </w:tcPr>
          <w:p w14:paraId="0BB4AA56" w14:textId="77777777" w:rsidR="000F70A3" w:rsidRPr="000F70A3" w:rsidRDefault="000F70A3" w:rsidP="007B39CE">
            <w:pPr>
              <w:pStyle w:val="72TabletextTablesTableFigureBoxstyles"/>
            </w:pPr>
            <w:r w:rsidRPr="000F70A3">
              <w:t>0</w:t>
            </w:r>
          </w:p>
        </w:tc>
        <w:tc>
          <w:tcPr>
            <w:tcW w:w="0" w:type="auto"/>
            <w:shd w:val="clear" w:color="auto" w:fill="auto"/>
          </w:tcPr>
          <w:p w14:paraId="2CF75A4B" w14:textId="77777777" w:rsidR="000F70A3" w:rsidRPr="000F70A3" w:rsidRDefault="000F70A3" w:rsidP="007B39CE">
            <w:pPr>
              <w:pStyle w:val="72TabletextTablesTableFigureBoxstyles"/>
            </w:pPr>
            <w:r w:rsidRPr="000F70A3">
              <w:t>0</w:t>
            </w:r>
          </w:p>
        </w:tc>
        <w:tc>
          <w:tcPr>
            <w:tcW w:w="0" w:type="auto"/>
            <w:shd w:val="clear" w:color="auto" w:fill="auto"/>
          </w:tcPr>
          <w:p w14:paraId="284FB9CD" w14:textId="77777777" w:rsidR="000F70A3" w:rsidRPr="000F70A3" w:rsidRDefault="000F70A3" w:rsidP="007B39CE">
            <w:pPr>
              <w:pStyle w:val="72TabletextTablesTableFigureBoxstyles"/>
            </w:pPr>
            <w:r w:rsidRPr="000F70A3">
              <w:t>0</w:t>
            </w:r>
          </w:p>
        </w:tc>
      </w:tr>
      <w:tr w:rsidR="000F70A3" w:rsidRPr="000F70A3" w14:paraId="571A58CE" w14:textId="77777777" w:rsidTr="0059567E">
        <w:trPr>
          <w:cantSplit/>
        </w:trPr>
        <w:tc>
          <w:tcPr>
            <w:tcW w:w="0" w:type="auto"/>
            <w:shd w:val="clear" w:color="auto" w:fill="auto"/>
          </w:tcPr>
          <w:p w14:paraId="793C4B73" w14:textId="77777777" w:rsidR="000F70A3" w:rsidRPr="007B39CE" w:rsidRDefault="000F70A3" w:rsidP="007B39CE">
            <w:pPr>
              <w:pStyle w:val="72TabletextTablesTableFigureBoxstyles"/>
              <w:rPr>
                <w:b/>
              </w:rPr>
            </w:pPr>
            <w:r w:rsidRPr="007B39CE">
              <w:rPr>
                <w:b/>
              </w:rPr>
              <w:t>Mixed Flora</w:t>
            </w:r>
          </w:p>
        </w:tc>
        <w:tc>
          <w:tcPr>
            <w:tcW w:w="0" w:type="auto"/>
            <w:shd w:val="clear" w:color="auto" w:fill="auto"/>
          </w:tcPr>
          <w:p w14:paraId="19276FAB" w14:textId="77777777" w:rsidR="000F70A3" w:rsidRPr="000F70A3" w:rsidRDefault="000F70A3" w:rsidP="007B39CE">
            <w:pPr>
              <w:pStyle w:val="72TabletextTablesTableFigureBoxstyles"/>
            </w:pPr>
            <w:r w:rsidRPr="000F70A3">
              <w:t>87</w:t>
            </w:r>
          </w:p>
        </w:tc>
        <w:tc>
          <w:tcPr>
            <w:tcW w:w="0" w:type="auto"/>
            <w:shd w:val="clear" w:color="auto" w:fill="auto"/>
          </w:tcPr>
          <w:p w14:paraId="18F3B463" w14:textId="77777777" w:rsidR="000F70A3" w:rsidRPr="000F70A3" w:rsidRDefault="000F70A3" w:rsidP="007B39CE">
            <w:pPr>
              <w:pStyle w:val="72TabletextTablesTableFigureBoxstyles"/>
            </w:pPr>
            <w:r w:rsidRPr="000F70A3">
              <w:t>40</w:t>
            </w:r>
          </w:p>
        </w:tc>
        <w:tc>
          <w:tcPr>
            <w:tcW w:w="0" w:type="auto"/>
            <w:shd w:val="clear" w:color="auto" w:fill="auto"/>
          </w:tcPr>
          <w:p w14:paraId="585BF575" w14:textId="77777777" w:rsidR="000F70A3" w:rsidRPr="000F70A3" w:rsidRDefault="000F70A3" w:rsidP="007B39CE">
            <w:pPr>
              <w:pStyle w:val="72TabletextTablesTableFigureBoxstyles"/>
            </w:pPr>
            <w:r w:rsidRPr="000F70A3">
              <w:t>38</w:t>
            </w:r>
          </w:p>
        </w:tc>
        <w:tc>
          <w:tcPr>
            <w:tcW w:w="0" w:type="auto"/>
            <w:shd w:val="clear" w:color="auto" w:fill="auto"/>
          </w:tcPr>
          <w:p w14:paraId="5AE46BE2" w14:textId="77777777" w:rsidR="000F70A3" w:rsidRPr="000F70A3" w:rsidRDefault="000F70A3" w:rsidP="007B39CE">
            <w:pPr>
              <w:pStyle w:val="72TabletextTablesTableFigureBoxstyles"/>
            </w:pPr>
            <w:r w:rsidRPr="000F70A3">
              <w:t>41</w:t>
            </w:r>
          </w:p>
        </w:tc>
        <w:tc>
          <w:tcPr>
            <w:tcW w:w="0" w:type="auto"/>
            <w:shd w:val="clear" w:color="auto" w:fill="auto"/>
          </w:tcPr>
          <w:p w14:paraId="080BA9E7" w14:textId="77777777" w:rsidR="000F70A3" w:rsidRPr="000F70A3" w:rsidRDefault="000F70A3" w:rsidP="007B39CE">
            <w:pPr>
              <w:pStyle w:val="72TabletextTablesTableFigureBoxstyles"/>
            </w:pPr>
            <w:r w:rsidRPr="000F70A3">
              <w:t>74</w:t>
            </w:r>
          </w:p>
        </w:tc>
        <w:tc>
          <w:tcPr>
            <w:tcW w:w="0" w:type="auto"/>
            <w:shd w:val="clear" w:color="auto" w:fill="auto"/>
          </w:tcPr>
          <w:p w14:paraId="4281AC81" w14:textId="77777777" w:rsidR="000F70A3" w:rsidRPr="000F70A3" w:rsidRDefault="000F70A3" w:rsidP="007B39CE">
            <w:pPr>
              <w:pStyle w:val="72TabletextTablesTableFigureBoxstyles"/>
            </w:pPr>
            <w:r w:rsidRPr="000F70A3">
              <w:t>30</w:t>
            </w:r>
          </w:p>
        </w:tc>
        <w:tc>
          <w:tcPr>
            <w:tcW w:w="0" w:type="auto"/>
            <w:shd w:val="clear" w:color="auto" w:fill="auto"/>
          </w:tcPr>
          <w:p w14:paraId="03C3A370" w14:textId="77777777" w:rsidR="000F70A3" w:rsidRPr="000F70A3" w:rsidRDefault="000F70A3" w:rsidP="007B39CE">
            <w:pPr>
              <w:pStyle w:val="72TabletextTablesTableFigureBoxstyles"/>
            </w:pPr>
            <w:r w:rsidRPr="000F70A3">
              <w:t>32</w:t>
            </w:r>
          </w:p>
        </w:tc>
        <w:tc>
          <w:tcPr>
            <w:tcW w:w="0" w:type="auto"/>
            <w:shd w:val="clear" w:color="auto" w:fill="auto"/>
          </w:tcPr>
          <w:p w14:paraId="0361B99C" w14:textId="77777777" w:rsidR="000F70A3" w:rsidRPr="000F70A3" w:rsidRDefault="000F70A3" w:rsidP="007B39CE">
            <w:pPr>
              <w:pStyle w:val="72TabletextTablesTableFigureBoxstyles"/>
            </w:pPr>
            <w:r w:rsidRPr="000F70A3">
              <w:t>39</w:t>
            </w:r>
          </w:p>
        </w:tc>
      </w:tr>
      <w:tr w:rsidR="000F70A3" w:rsidRPr="000F70A3" w14:paraId="1706B6E3" w14:textId="77777777" w:rsidTr="0059567E">
        <w:trPr>
          <w:cantSplit/>
        </w:trPr>
        <w:tc>
          <w:tcPr>
            <w:tcW w:w="0" w:type="auto"/>
            <w:shd w:val="clear" w:color="auto" w:fill="auto"/>
          </w:tcPr>
          <w:p w14:paraId="28CDCD73" w14:textId="77777777" w:rsidR="000F70A3" w:rsidRPr="007B39CE" w:rsidRDefault="000F70A3" w:rsidP="007B39CE">
            <w:pPr>
              <w:pStyle w:val="72TabletextTablesTableFigureBoxstyles"/>
              <w:rPr>
                <w:b/>
              </w:rPr>
            </w:pPr>
            <w:r w:rsidRPr="007B39CE">
              <w:rPr>
                <w:b/>
              </w:rPr>
              <w:t>No Growth</w:t>
            </w:r>
          </w:p>
        </w:tc>
        <w:tc>
          <w:tcPr>
            <w:tcW w:w="0" w:type="auto"/>
            <w:shd w:val="clear" w:color="auto" w:fill="auto"/>
          </w:tcPr>
          <w:p w14:paraId="7A4F7CDB" w14:textId="77777777" w:rsidR="000F70A3" w:rsidRPr="000F70A3" w:rsidRDefault="000F70A3" w:rsidP="007B39CE">
            <w:pPr>
              <w:pStyle w:val="72TabletextTablesTableFigureBoxstyles"/>
            </w:pPr>
            <w:r w:rsidRPr="000F70A3">
              <w:t>1</w:t>
            </w:r>
          </w:p>
        </w:tc>
        <w:tc>
          <w:tcPr>
            <w:tcW w:w="0" w:type="auto"/>
            <w:shd w:val="clear" w:color="auto" w:fill="auto"/>
          </w:tcPr>
          <w:p w14:paraId="5675D3B8" w14:textId="77777777" w:rsidR="000F70A3" w:rsidRPr="000F70A3" w:rsidRDefault="000F70A3" w:rsidP="007B39CE">
            <w:pPr>
              <w:pStyle w:val="72TabletextTablesTableFigureBoxstyles"/>
            </w:pPr>
            <w:r w:rsidRPr="000F70A3">
              <w:t>1</w:t>
            </w:r>
          </w:p>
        </w:tc>
        <w:tc>
          <w:tcPr>
            <w:tcW w:w="0" w:type="auto"/>
            <w:shd w:val="clear" w:color="auto" w:fill="auto"/>
          </w:tcPr>
          <w:p w14:paraId="014824EC" w14:textId="77777777" w:rsidR="000F70A3" w:rsidRPr="000F70A3" w:rsidRDefault="000F70A3" w:rsidP="007B39CE">
            <w:pPr>
              <w:pStyle w:val="72TabletextTablesTableFigureBoxstyles"/>
            </w:pPr>
            <w:r w:rsidRPr="000F70A3">
              <w:t>0</w:t>
            </w:r>
          </w:p>
        </w:tc>
        <w:tc>
          <w:tcPr>
            <w:tcW w:w="0" w:type="auto"/>
            <w:shd w:val="clear" w:color="auto" w:fill="auto"/>
          </w:tcPr>
          <w:p w14:paraId="47BD1480" w14:textId="77777777" w:rsidR="000F70A3" w:rsidRPr="000F70A3" w:rsidRDefault="000F70A3" w:rsidP="007B39CE">
            <w:pPr>
              <w:pStyle w:val="72TabletextTablesTableFigureBoxstyles"/>
            </w:pPr>
            <w:r w:rsidRPr="000F70A3">
              <w:t>0</w:t>
            </w:r>
          </w:p>
        </w:tc>
        <w:tc>
          <w:tcPr>
            <w:tcW w:w="0" w:type="auto"/>
            <w:shd w:val="clear" w:color="auto" w:fill="auto"/>
          </w:tcPr>
          <w:p w14:paraId="3BC85721" w14:textId="77777777" w:rsidR="000F70A3" w:rsidRPr="000F70A3" w:rsidRDefault="000F70A3" w:rsidP="007B39CE">
            <w:pPr>
              <w:pStyle w:val="72TabletextTablesTableFigureBoxstyles"/>
            </w:pPr>
            <w:r w:rsidRPr="000F70A3">
              <w:t>0</w:t>
            </w:r>
          </w:p>
        </w:tc>
        <w:tc>
          <w:tcPr>
            <w:tcW w:w="0" w:type="auto"/>
            <w:shd w:val="clear" w:color="auto" w:fill="auto"/>
          </w:tcPr>
          <w:p w14:paraId="0FC3701F" w14:textId="77777777" w:rsidR="000F70A3" w:rsidRPr="000F70A3" w:rsidRDefault="000F70A3" w:rsidP="007B39CE">
            <w:pPr>
              <w:pStyle w:val="72TabletextTablesTableFigureBoxstyles"/>
            </w:pPr>
            <w:r w:rsidRPr="000F70A3">
              <w:t>0</w:t>
            </w:r>
          </w:p>
        </w:tc>
        <w:tc>
          <w:tcPr>
            <w:tcW w:w="0" w:type="auto"/>
            <w:shd w:val="clear" w:color="auto" w:fill="auto"/>
          </w:tcPr>
          <w:p w14:paraId="57B114A6" w14:textId="77777777" w:rsidR="000F70A3" w:rsidRPr="000F70A3" w:rsidRDefault="000F70A3" w:rsidP="007B39CE">
            <w:pPr>
              <w:pStyle w:val="72TabletextTablesTableFigureBoxstyles"/>
            </w:pPr>
            <w:r w:rsidRPr="000F70A3">
              <w:t>0</w:t>
            </w:r>
          </w:p>
        </w:tc>
        <w:tc>
          <w:tcPr>
            <w:tcW w:w="0" w:type="auto"/>
            <w:shd w:val="clear" w:color="auto" w:fill="auto"/>
          </w:tcPr>
          <w:p w14:paraId="3F7217C5" w14:textId="77777777" w:rsidR="000F70A3" w:rsidRPr="000F70A3" w:rsidRDefault="000F70A3" w:rsidP="007B39CE">
            <w:pPr>
              <w:pStyle w:val="72TabletextTablesTableFigureBoxstyles"/>
            </w:pPr>
            <w:r w:rsidRPr="000F70A3">
              <w:t>0</w:t>
            </w:r>
          </w:p>
        </w:tc>
      </w:tr>
      <w:tr w:rsidR="007B39CE" w:rsidRPr="000F70A3" w14:paraId="23723DA3" w14:textId="77777777" w:rsidTr="00DA3216">
        <w:trPr>
          <w:cantSplit/>
        </w:trPr>
        <w:tc>
          <w:tcPr>
            <w:tcW w:w="0" w:type="auto"/>
            <w:gridSpan w:val="9"/>
            <w:shd w:val="clear" w:color="auto" w:fill="auto"/>
          </w:tcPr>
          <w:p w14:paraId="06DE9120" w14:textId="69A98E8D" w:rsidR="007B39CE" w:rsidRPr="007B39CE" w:rsidRDefault="007B39CE" w:rsidP="007B39CE">
            <w:pPr>
              <w:pStyle w:val="751TablenotesbulletlistTablesTableFigureBoxstyles"/>
            </w:pPr>
            <w:r w:rsidRPr="000F70A3">
              <w:rPr>
                <w:rFonts w:ascii="Symbol" w:hAnsi="Symbol"/>
              </w:rPr>
              <w:t></w:t>
            </w:r>
            <w:r w:rsidRPr="000F70A3">
              <w:rPr>
                <w:rFonts w:ascii="Symbol" w:hAnsi="Symbol"/>
              </w:rPr>
              <w:tab/>
            </w:r>
            <w:r w:rsidRPr="000F70A3">
              <w:t xml:space="preserve">MRSA = Methicillin Resistant </w:t>
            </w:r>
            <w:r w:rsidRPr="000F70A3">
              <w:rPr>
                <w:i/>
                <w:color w:val="00B0F0"/>
              </w:rPr>
              <w:t>Staphylococcus aureus</w:t>
            </w:r>
          </w:p>
        </w:tc>
      </w:tr>
    </w:tbl>
    <w:p w14:paraId="3E663FAB" w14:textId="7CDA4919" w:rsidR="000F70A3" w:rsidRPr="000F70A3" w:rsidRDefault="007B39CE" w:rsidP="000F70A3">
      <w:pPr>
        <w:pStyle w:val="70TablelegendTablesTableFigureBoxstyles"/>
      </w:pPr>
      <w:r w:rsidRPr="007B39CE">
        <w:rPr>
          <w:b/>
        </w:rPr>
        <w:t>TABLE 3</w:t>
      </w:r>
      <w:r w:rsidRPr="007B39CE">
        <w:rPr>
          <w:b/>
        </w:rPr>
        <w:t> </w:t>
      </w:r>
      <w:r w:rsidR="000F70A3" w:rsidRPr="000F70A3">
        <w:t>p</w:t>
      </w:r>
      <w:r>
        <w:t>revalence of resistant isolates</w:t>
      </w:r>
    </w:p>
    <w:tbl>
      <w:tblPr>
        <w:tblW w:w="0" w:type="auto"/>
        <w:tblCellMar>
          <w:top w:w="40" w:type="dxa"/>
          <w:left w:w="60" w:type="dxa"/>
          <w:bottom w:w="40" w:type="dxa"/>
          <w:right w:w="60" w:type="dxa"/>
        </w:tblCellMar>
        <w:tblLook w:val="04A0" w:firstRow="1" w:lastRow="0" w:firstColumn="1" w:lastColumn="0" w:noHBand="0" w:noVBand="1"/>
      </w:tblPr>
      <w:tblGrid>
        <w:gridCol w:w="2678"/>
        <w:gridCol w:w="844"/>
        <w:gridCol w:w="786"/>
        <w:gridCol w:w="786"/>
        <w:gridCol w:w="818"/>
        <w:gridCol w:w="844"/>
        <w:gridCol w:w="786"/>
        <w:gridCol w:w="786"/>
        <w:gridCol w:w="818"/>
      </w:tblGrid>
      <w:tr w:rsidR="000F70A3" w:rsidRPr="000F70A3" w14:paraId="08C6D54B" w14:textId="77777777" w:rsidTr="0059567E">
        <w:trPr>
          <w:cantSplit/>
        </w:trPr>
        <w:tc>
          <w:tcPr>
            <w:tcW w:w="0" w:type="auto"/>
            <w:shd w:val="clear" w:color="auto" w:fill="D5DCE4"/>
          </w:tcPr>
          <w:p w14:paraId="73A56640" w14:textId="77777777" w:rsidR="000F70A3" w:rsidRPr="000F70A3" w:rsidRDefault="000F70A3" w:rsidP="00EA4CC6">
            <w:pPr>
              <w:pStyle w:val="710TableheadTablesTableFigureBoxstyles"/>
            </w:pPr>
          </w:p>
        </w:tc>
        <w:tc>
          <w:tcPr>
            <w:tcW w:w="0" w:type="auto"/>
            <w:gridSpan w:val="4"/>
            <w:shd w:val="clear" w:color="auto" w:fill="D5DCE4"/>
          </w:tcPr>
          <w:p w14:paraId="2B508B01" w14:textId="77777777" w:rsidR="000F70A3" w:rsidRPr="000F70A3" w:rsidRDefault="000F70A3" w:rsidP="00EA4CC6">
            <w:pPr>
              <w:pStyle w:val="705TableheadgroupTablesTableFigureBoxstyles"/>
            </w:pPr>
            <w:r w:rsidRPr="000F70A3">
              <w:t>Co-Amoxiclav</w:t>
            </w:r>
          </w:p>
        </w:tc>
        <w:tc>
          <w:tcPr>
            <w:tcW w:w="0" w:type="auto"/>
            <w:gridSpan w:val="4"/>
            <w:shd w:val="clear" w:color="auto" w:fill="D5DCE4"/>
          </w:tcPr>
          <w:p w14:paraId="4BF1729D" w14:textId="77777777" w:rsidR="000F70A3" w:rsidRPr="000F70A3" w:rsidRDefault="000F70A3" w:rsidP="00EA4CC6">
            <w:pPr>
              <w:pStyle w:val="705TableheadgroupTablesTableFigureBoxstyles"/>
            </w:pPr>
            <w:r w:rsidRPr="000F70A3">
              <w:t>Placebo</w:t>
            </w:r>
          </w:p>
        </w:tc>
      </w:tr>
      <w:tr w:rsidR="000F70A3" w:rsidRPr="000F70A3" w14:paraId="06A6344F" w14:textId="77777777" w:rsidTr="0059567E">
        <w:trPr>
          <w:cantSplit/>
        </w:trPr>
        <w:tc>
          <w:tcPr>
            <w:tcW w:w="0" w:type="auto"/>
            <w:shd w:val="clear" w:color="auto" w:fill="D5DCE4"/>
          </w:tcPr>
          <w:p w14:paraId="4EF15312" w14:textId="77777777" w:rsidR="000F70A3" w:rsidRPr="000F70A3" w:rsidRDefault="000F70A3" w:rsidP="00EA4CC6">
            <w:pPr>
              <w:pStyle w:val="710TableheadTablesTableFigureBoxstyles"/>
            </w:pPr>
          </w:p>
        </w:tc>
        <w:tc>
          <w:tcPr>
            <w:tcW w:w="0" w:type="auto"/>
            <w:shd w:val="clear" w:color="auto" w:fill="D5DCE4"/>
          </w:tcPr>
          <w:p w14:paraId="1B0CB58E" w14:textId="77777777" w:rsidR="000F70A3" w:rsidRPr="000F70A3" w:rsidRDefault="000F70A3" w:rsidP="00EA4CC6">
            <w:pPr>
              <w:pStyle w:val="710TableheadTablesTableFigureBoxstyles"/>
            </w:pPr>
            <w:r w:rsidRPr="000F70A3">
              <w:t>Baseline</w:t>
            </w:r>
          </w:p>
        </w:tc>
        <w:tc>
          <w:tcPr>
            <w:tcW w:w="0" w:type="auto"/>
            <w:shd w:val="clear" w:color="auto" w:fill="D5DCE4"/>
          </w:tcPr>
          <w:p w14:paraId="519DBE29" w14:textId="77777777" w:rsidR="000F70A3" w:rsidRPr="000F70A3" w:rsidRDefault="000F70A3" w:rsidP="00EA4CC6">
            <w:pPr>
              <w:pStyle w:val="710TableheadTablesTableFigureBoxstyles"/>
            </w:pPr>
            <w:r w:rsidRPr="000F70A3">
              <w:t>3 Months</w:t>
            </w:r>
          </w:p>
        </w:tc>
        <w:tc>
          <w:tcPr>
            <w:tcW w:w="0" w:type="auto"/>
            <w:shd w:val="clear" w:color="auto" w:fill="D5DCE4"/>
          </w:tcPr>
          <w:p w14:paraId="2B94FFDD" w14:textId="77777777" w:rsidR="000F70A3" w:rsidRPr="000F70A3" w:rsidRDefault="000F70A3" w:rsidP="00EA4CC6">
            <w:pPr>
              <w:pStyle w:val="710TableheadTablesTableFigureBoxstyles"/>
            </w:pPr>
            <w:r w:rsidRPr="000F70A3">
              <w:t>6 Months</w:t>
            </w:r>
          </w:p>
        </w:tc>
        <w:tc>
          <w:tcPr>
            <w:tcW w:w="0" w:type="auto"/>
            <w:shd w:val="clear" w:color="auto" w:fill="D5DCE4"/>
          </w:tcPr>
          <w:p w14:paraId="0E289A61" w14:textId="77777777" w:rsidR="000F70A3" w:rsidRPr="000F70A3" w:rsidRDefault="000F70A3" w:rsidP="00EA4CC6">
            <w:pPr>
              <w:pStyle w:val="710TableheadTablesTableFigureBoxstyles"/>
            </w:pPr>
            <w:r w:rsidRPr="000F70A3">
              <w:t>12 Months</w:t>
            </w:r>
          </w:p>
        </w:tc>
        <w:tc>
          <w:tcPr>
            <w:tcW w:w="0" w:type="auto"/>
            <w:shd w:val="clear" w:color="auto" w:fill="D5DCE4"/>
          </w:tcPr>
          <w:p w14:paraId="46B72D97" w14:textId="77777777" w:rsidR="000F70A3" w:rsidRPr="000F70A3" w:rsidRDefault="000F70A3" w:rsidP="00EA4CC6">
            <w:pPr>
              <w:pStyle w:val="710TableheadTablesTableFigureBoxstyles"/>
            </w:pPr>
            <w:r w:rsidRPr="000F70A3">
              <w:t>Baseline</w:t>
            </w:r>
          </w:p>
        </w:tc>
        <w:tc>
          <w:tcPr>
            <w:tcW w:w="0" w:type="auto"/>
            <w:shd w:val="clear" w:color="auto" w:fill="D5DCE4"/>
          </w:tcPr>
          <w:p w14:paraId="7C5CD617" w14:textId="77777777" w:rsidR="000F70A3" w:rsidRPr="000F70A3" w:rsidRDefault="000F70A3" w:rsidP="00EA4CC6">
            <w:pPr>
              <w:pStyle w:val="710TableheadTablesTableFigureBoxstyles"/>
            </w:pPr>
            <w:r w:rsidRPr="000F70A3">
              <w:t>3 Months</w:t>
            </w:r>
          </w:p>
        </w:tc>
        <w:tc>
          <w:tcPr>
            <w:tcW w:w="0" w:type="auto"/>
            <w:shd w:val="clear" w:color="auto" w:fill="D5DCE4"/>
          </w:tcPr>
          <w:p w14:paraId="108E2133" w14:textId="77777777" w:rsidR="000F70A3" w:rsidRPr="000F70A3" w:rsidRDefault="000F70A3" w:rsidP="00EA4CC6">
            <w:pPr>
              <w:pStyle w:val="710TableheadTablesTableFigureBoxstyles"/>
            </w:pPr>
            <w:r w:rsidRPr="000F70A3">
              <w:t>6 Months</w:t>
            </w:r>
          </w:p>
        </w:tc>
        <w:tc>
          <w:tcPr>
            <w:tcW w:w="0" w:type="auto"/>
            <w:shd w:val="clear" w:color="auto" w:fill="D5DCE4"/>
          </w:tcPr>
          <w:p w14:paraId="379C6A49" w14:textId="77777777" w:rsidR="000F70A3" w:rsidRPr="000F70A3" w:rsidRDefault="000F70A3" w:rsidP="00EA4CC6">
            <w:pPr>
              <w:pStyle w:val="710TableheadTablesTableFigureBoxstyles"/>
            </w:pPr>
            <w:r w:rsidRPr="000F70A3">
              <w:t>12 Months</w:t>
            </w:r>
          </w:p>
        </w:tc>
      </w:tr>
      <w:tr w:rsidR="000F70A3" w:rsidRPr="000F70A3" w14:paraId="1E02062E" w14:textId="77777777" w:rsidTr="0059567E">
        <w:trPr>
          <w:cantSplit/>
        </w:trPr>
        <w:tc>
          <w:tcPr>
            <w:tcW w:w="0" w:type="auto"/>
            <w:shd w:val="clear" w:color="auto" w:fill="auto"/>
          </w:tcPr>
          <w:p w14:paraId="3131809C" w14:textId="77777777" w:rsidR="000F70A3" w:rsidRPr="000F70A3" w:rsidRDefault="000F70A3" w:rsidP="00EA4CC6">
            <w:pPr>
              <w:pStyle w:val="72TabletextTablesTableFigureBoxstyles"/>
              <w:rPr>
                <w:b/>
              </w:rPr>
            </w:pPr>
            <w:r w:rsidRPr="000F70A3">
              <w:t xml:space="preserve">Haemophilus selective agar containing ampicillin </w:t>
            </w:r>
          </w:p>
        </w:tc>
        <w:tc>
          <w:tcPr>
            <w:tcW w:w="0" w:type="auto"/>
            <w:shd w:val="clear" w:color="auto" w:fill="auto"/>
          </w:tcPr>
          <w:p w14:paraId="531FA634" w14:textId="77777777" w:rsidR="000F70A3" w:rsidRPr="000F70A3" w:rsidRDefault="000F70A3" w:rsidP="00EA4CC6">
            <w:pPr>
              <w:pStyle w:val="72TabletextTablesTableFigureBoxstyles"/>
            </w:pPr>
            <w:r w:rsidRPr="000F70A3">
              <w:t>6/20 (30%)</w:t>
            </w:r>
          </w:p>
        </w:tc>
        <w:tc>
          <w:tcPr>
            <w:tcW w:w="0" w:type="auto"/>
            <w:shd w:val="clear" w:color="auto" w:fill="auto"/>
          </w:tcPr>
          <w:p w14:paraId="00380850" w14:textId="77777777" w:rsidR="000F70A3" w:rsidRPr="000F70A3" w:rsidRDefault="000F70A3" w:rsidP="00EA4CC6">
            <w:pPr>
              <w:pStyle w:val="72TabletextTablesTableFigureBoxstyles"/>
            </w:pPr>
            <w:r w:rsidRPr="000F70A3">
              <w:t>5/11 (46%)</w:t>
            </w:r>
          </w:p>
        </w:tc>
        <w:tc>
          <w:tcPr>
            <w:tcW w:w="0" w:type="auto"/>
            <w:shd w:val="clear" w:color="auto" w:fill="auto"/>
          </w:tcPr>
          <w:p w14:paraId="00A39C5D" w14:textId="77777777" w:rsidR="000F70A3" w:rsidRPr="000F70A3" w:rsidRDefault="000F70A3" w:rsidP="00EA4CC6">
            <w:pPr>
              <w:pStyle w:val="72TabletextTablesTableFigureBoxstyles"/>
            </w:pPr>
            <w:r w:rsidRPr="000F70A3">
              <w:t>1/7 (14%)</w:t>
            </w:r>
          </w:p>
        </w:tc>
        <w:tc>
          <w:tcPr>
            <w:tcW w:w="0" w:type="auto"/>
            <w:shd w:val="clear" w:color="auto" w:fill="auto"/>
          </w:tcPr>
          <w:p w14:paraId="1FB25136" w14:textId="77777777" w:rsidR="000F70A3" w:rsidRPr="000F70A3" w:rsidRDefault="000F70A3" w:rsidP="00EA4CC6">
            <w:pPr>
              <w:pStyle w:val="72TabletextTablesTableFigureBoxstyles"/>
            </w:pPr>
            <w:r w:rsidRPr="000F70A3">
              <w:t>1/6 (17%)</w:t>
            </w:r>
          </w:p>
        </w:tc>
        <w:tc>
          <w:tcPr>
            <w:tcW w:w="0" w:type="auto"/>
            <w:shd w:val="clear" w:color="auto" w:fill="auto"/>
          </w:tcPr>
          <w:p w14:paraId="16E25A07" w14:textId="77777777" w:rsidR="000F70A3" w:rsidRPr="000F70A3" w:rsidRDefault="000F70A3" w:rsidP="00EA4CC6">
            <w:pPr>
              <w:pStyle w:val="72TabletextTablesTableFigureBoxstyles"/>
            </w:pPr>
            <w:r w:rsidRPr="000F70A3">
              <w:t>7/32 (22%)</w:t>
            </w:r>
          </w:p>
        </w:tc>
        <w:tc>
          <w:tcPr>
            <w:tcW w:w="0" w:type="auto"/>
            <w:shd w:val="clear" w:color="auto" w:fill="auto"/>
          </w:tcPr>
          <w:p w14:paraId="04A46955" w14:textId="77777777" w:rsidR="000F70A3" w:rsidRPr="000F70A3" w:rsidRDefault="000F70A3" w:rsidP="00EA4CC6">
            <w:pPr>
              <w:pStyle w:val="72TabletextTablesTableFigureBoxstyles"/>
            </w:pPr>
            <w:r w:rsidRPr="000F70A3">
              <w:t>3/10 (30%)</w:t>
            </w:r>
          </w:p>
        </w:tc>
        <w:tc>
          <w:tcPr>
            <w:tcW w:w="0" w:type="auto"/>
            <w:shd w:val="clear" w:color="auto" w:fill="auto"/>
          </w:tcPr>
          <w:p w14:paraId="32698A7E" w14:textId="77777777" w:rsidR="000F70A3" w:rsidRPr="000F70A3" w:rsidRDefault="000F70A3" w:rsidP="00EA4CC6">
            <w:pPr>
              <w:pStyle w:val="72TabletextTablesTableFigureBoxstyles"/>
            </w:pPr>
            <w:r w:rsidRPr="000F70A3">
              <w:t>4/12 (33%)</w:t>
            </w:r>
          </w:p>
        </w:tc>
        <w:tc>
          <w:tcPr>
            <w:tcW w:w="0" w:type="auto"/>
            <w:shd w:val="clear" w:color="auto" w:fill="auto"/>
          </w:tcPr>
          <w:p w14:paraId="15F2C87C" w14:textId="77777777" w:rsidR="000F70A3" w:rsidRPr="000F70A3" w:rsidRDefault="000F70A3" w:rsidP="00EA4CC6">
            <w:pPr>
              <w:pStyle w:val="72TabletextTablesTableFigureBoxstyles"/>
            </w:pPr>
            <w:r w:rsidRPr="000F70A3">
              <w:t>1/6 (17%)</w:t>
            </w:r>
          </w:p>
        </w:tc>
      </w:tr>
      <w:tr w:rsidR="000F70A3" w:rsidRPr="000F70A3" w14:paraId="52E13568" w14:textId="77777777" w:rsidTr="0059567E">
        <w:trPr>
          <w:cantSplit/>
        </w:trPr>
        <w:tc>
          <w:tcPr>
            <w:tcW w:w="0" w:type="auto"/>
            <w:shd w:val="clear" w:color="auto" w:fill="auto"/>
          </w:tcPr>
          <w:p w14:paraId="6364DE7C" w14:textId="5CCDFB19" w:rsidR="000F70A3" w:rsidRPr="00EA4CC6" w:rsidRDefault="000F70A3" w:rsidP="00EA4CC6">
            <w:pPr>
              <w:pStyle w:val="72TabletextTablesTableFigureBoxstyles"/>
            </w:pPr>
            <w:r w:rsidRPr="000F70A3">
              <w:t>Streptococcus Selective agar containing ampicillin</w:t>
            </w:r>
          </w:p>
        </w:tc>
        <w:tc>
          <w:tcPr>
            <w:tcW w:w="0" w:type="auto"/>
            <w:shd w:val="clear" w:color="auto" w:fill="auto"/>
          </w:tcPr>
          <w:p w14:paraId="2FB828D1" w14:textId="77777777" w:rsidR="000F70A3" w:rsidRPr="000F70A3" w:rsidRDefault="000F70A3" w:rsidP="00EA4CC6">
            <w:pPr>
              <w:pStyle w:val="72TabletextTablesTableFigureBoxstyles"/>
            </w:pPr>
            <w:r w:rsidRPr="000F70A3">
              <w:t>0/4 (0%)</w:t>
            </w:r>
          </w:p>
        </w:tc>
        <w:tc>
          <w:tcPr>
            <w:tcW w:w="0" w:type="auto"/>
            <w:shd w:val="clear" w:color="auto" w:fill="auto"/>
          </w:tcPr>
          <w:p w14:paraId="4702B7BC" w14:textId="77777777" w:rsidR="000F70A3" w:rsidRPr="000F70A3" w:rsidRDefault="000F70A3" w:rsidP="00EA4CC6">
            <w:pPr>
              <w:pStyle w:val="72TabletextTablesTableFigureBoxstyles"/>
            </w:pPr>
            <w:r w:rsidRPr="000F70A3">
              <w:t>0/4 (0%)</w:t>
            </w:r>
          </w:p>
        </w:tc>
        <w:tc>
          <w:tcPr>
            <w:tcW w:w="0" w:type="auto"/>
            <w:shd w:val="clear" w:color="auto" w:fill="auto"/>
          </w:tcPr>
          <w:p w14:paraId="4E4F9105" w14:textId="77777777" w:rsidR="000F70A3" w:rsidRPr="000F70A3" w:rsidRDefault="000F70A3" w:rsidP="00EA4CC6">
            <w:pPr>
              <w:pStyle w:val="72TabletextTablesTableFigureBoxstyles"/>
            </w:pPr>
            <w:r w:rsidRPr="000F70A3">
              <w:t>0/1 (0%)</w:t>
            </w:r>
          </w:p>
        </w:tc>
        <w:tc>
          <w:tcPr>
            <w:tcW w:w="0" w:type="auto"/>
            <w:shd w:val="clear" w:color="auto" w:fill="auto"/>
          </w:tcPr>
          <w:p w14:paraId="5D7B51F8" w14:textId="77777777" w:rsidR="000F70A3" w:rsidRPr="000F70A3" w:rsidRDefault="000F70A3" w:rsidP="00EA4CC6">
            <w:pPr>
              <w:pStyle w:val="72TabletextTablesTableFigureBoxstyles"/>
            </w:pPr>
            <w:r w:rsidRPr="000F70A3">
              <w:t>-</w:t>
            </w:r>
          </w:p>
        </w:tc>
        <w:tc>
          <w:tcPr>
            <w:tcW w:w="0" w:type="auto"/>
            <w:shd w:val="clear" w:color="auto" w:fill="auto"/>
          </w:tcPr>
          <w:p w14:paraId="5F04792C" w14:textId="77777777" w:rsidR="000F70A3" w:rsidRPr="000F70A3" w:rsidRDefault="000F70A3" w:rsidP="00EA4CC6">
            <w:pPr>
              <w:pStyle w:val="72TabletextTablesTableFigureBoxstyles"/>
            </w:pPr>
            <w:r w:rsidRPr="000F70A3">
              <w:t>0/6 (0%)</w:t>
            </w:r>
          </w:p>
        </w:tc>
        <w:tc>
          <w:tcPr>
            <w:tcW w:w="0" w:type="auto"/>
            <w:shd w:val="clear" w:color="auto" w:fill="auto"/>
          </w:tcPr>
          <w:p w14:paraId="49A98445" w14:textId="77777777" w:rsidR="000F70A3" w:rsidRPr="000F70A3" w:rsidRDefault="000F70A3" w:rsidP="00EA4CC6">
            <w:pPr>
              <w:pStyle w:val="72TabletextTablesTableFigureBoxstyles"/>
            </w:pPr>
            <w:r w:rsidRPr="000F70A3">
              <w:t>0/6 (0%)</w:t>
            </w:r>
          </w:p>
        </w:tc>
        <w:tc>
          <w:tcPr>
            <w:tcW w:w="0" w:type="auto"/>
            <w:shd w:val="clear" w:color="auto" w:fill="auto"/>
          </w:tcPr>
          <w:p w14:paraId="07442B81" w14:textId="77777777" w:rsidR="000F70A3" w:rsidRPr="000F70A3" w:rsidRDefault="000F70A3" w:rsidP="00EA4CC6">
            <w:pPr>
              <w:pStyle w:val="72TabletextTablesTableFigureBoxstyles"/>
            </w:pPr>
            <w:r w:rsidRPr="000F70A3">
              <w:t>0/1 (0%)</w:t>
            </w:r>
          </w:p>
        </w:tc>
        <w:tc>
          <w:tcPr>
            <w:tcW w:w="0" w:type="auto"/>
            <w:shd w:val="clear" w:color="auto" w:fill="auto"/>
          </w:tcPr>
          <w:p w14:paraId="5D459E92" w14:textId="77777777" w:rsidR="000F70A3" w:rsidRPr="000F70A3" w:rsidRDefault="000F70A3" w:rsidP="00EA4CC6">
            <w:pPr>
              <w:pStyle w:val="72TabletextTablesTableFigureBoxstyles"/>
            </w:pPr>
            <w:r w:rsidRPr="000F70A3">
              <w:t>0/1 (0%)</w:t>
            </w:r>
          </w:p>
        </w:tc>
      </w:tr>
      <w:tr w:rsidR="000F70A3" w:rsidRPr="000F70A3" w14:paraId="734529B1" w14:textId="77777777" w:rsidTr="0059567E">
        <w:trPr>
          <w:cantSplit/>
        </w:trPr>
        <w:tc>
          <w:tcPr>
            <w:tcW w:w="0" w:type="auto"/>
            <w:shd w:val="clear" w:color="auto" w:fill="auto"/>
          </w:tcPr>
          <w:p w14:paraId="1219D094" w14:textId="0799CC4E" w:rsidR="000F70A3" w:rsidRPr="00EA4CC6" w:rsidRDefault="000F70A3" w:rsidP="00EA4CC6">
            <w:pPr>
              <w:pStyle w:val="72TabletextTablesTableFigureBoxstyles"/>
              <w:rPr>
                <w:lang w:val="fr-FR"/>
              </w:rPr>
            </w:pPr>
            <w:r w:rsidRPr="000F70A3">
              <w:rPr>
                <w:lang w:val="fr-FR"/>
              </w:rPr>
              <w:t xml:space="preserve">Methicillin-susceptible </w:t>
            </w:r>
            <w:r w:rsidRPr="000F70A3">
              <w:rPr>
                <w:i/>
                <w:color w:val="00B0F0"/>
                <w:lang w:val="fr-FR"/>
              </w:rPr>
              <w:t>S. aureus</w:t>
            </w:r>
            <w:r w:rsidRPr="000F70A3">
              <w:rPr>
                <w:lang w:val="fr-FR"/>
              </w:rPr>
              <w:t xml:space="preserve"> (MSSA) Cefoxitin Sensitive</w:t>
            </w:r>
          </w:p>
        </w:tc>
        <w:tc>
          <w:tcPr>
            <w:tcW w:w="0" w:type="auto"/>
            <w:shd w:val="clear" w:color="auto" w:fill="auto"/>
          </w:tcPr>
          <w:p w14:paraId="03637F8F" w14:textId="77777777" w:rsidR="000F70A3" w:rsidRPr="000F70A3" w:rsidRDefault="000F70A3" w:rsidP="00EA4CC6">
            <w:pPr>
              <w:pStyle w:val="72TabletextTablesTableFigureBoxstyles"/>
            </w:pPr>
            <w:r w:rsidRPr="000F70A3">
              <w:t>4/4 (100%)</w:t>
            </w:r>
          </w:p>
        </w:tc>
        <w:tc>
          <w:tcPr>
            <w:tcW w:w="0" w:type="auto"/>
            <w:shd w:val="clear" w:color="auto" w:fill="auto"/>
          </w:tcPr>
          <w:p w14:paraId="1B21307F" w14:textId="77777777" w:rsidR="000F70A3" w:rsidRPr="000F70A3" w:rsidRDefault="000F70A3" w:rsidP="00EA4CC6">
            <w:pPr>
              <w:pStyle w:val="72TabletextTablesTableFigureBoxstyles"/>
            </w:pPr>
            <w:r w:rsidRPr="000F70A3">
              <w:t>1/1 (100%)</w:t>
            </w:r>
          </w:p>
        </w:tc>
        <w:tc>
          <w:tcPr>
            <w:tcW w:w="0" w:type="auto"/>
            <w:shd w:val="clear" w:color="auto" w:fill="auto"/>
          </w:tcPr>
          <w:p w14:paraId="634E3DAB" w14:textId="77777777" w:rsidR="000F70A3" w:rsidRPr="000F70A3" w:rsidRDefault="000F70A3" w:rsidP="00EA4CC6">
            <w:pPr>
              <w:pStyle w:val="72TabletextTablesTableFigureBoxstyles"/>
            </w:pPr>
            <w:r w:rsidRPr="000F70A3">
              <w:t>2/2 (100%)</w:t>
            </w:r>
          </w:p>
        </w:tc>
        <w:tc>
          <w:tcPr>
            <w:tcW w:w="0" w:type="auto"/>
            <w:shd w:val="clear" w:color="auto" w:fill="auto"/>
          </w:tcPr>
          <w:p w14:paraId="4BA0B88A" w14:textId="77777777" w:rsidR="000F70A3" w:rsidRPr="000F70A3" w:rsidRDefault="000F70A3" w:rsidP="00EA4CC6">
            <w:pPr>
              <w:pStyle w:val="72TabletextTablesTableFigureBoxstyles"/>
            </w:pPr>
            <w:r w:rsidRPr="000F70A3">
              <w:t>-</w:t>
            </w:r>
          </w:p>
        </w:tc>
        <w:tc>
          <w:tcPr>
            <w:tcW w:w="0" w:type="auto"/>
            <w:shd w:val="clear" w:color="auto" w:fill="auto"/>
          </w:tcPr>
          <w:p w14:paraId="6FD463CA" w14:textId="77777777" w:rsidR="000F70A3" w:rsidRPr="000F70A3" w:rsidRDefault="000F70A3" w:rsidP="00EA4CC6">
            <w:pPr>
              <w:pStyle w:val="72TabletextTablesTableFigureBoxstyles"/>
            </w:pPr>
            <w:r w:rsidRPr="000F70A3">
              <w:t>1/2 (50%)</w:t>
            </w:r>
          </w:p>
        </w:tc>
        <w:tc>
          <w:tcPr>
            <w:tcW w:w="0" w:type="auto"/>
            <w:shd w:val="clear" w:color="auto" w:fill="auto"/>
          </w:tcPr>
          <w:p w14:paraId="42053E89" w14:textId="77777777" w:rsidR="000F70A3" w:rsidRPr="000F70A3" w:rsidRDefault="000F70A3" w:rsidP="00EA4CC6">
            <w:pPr>
              <w:pStyle w:val="72TabletextTablesTableFigureBoxstyles"/>
            </w:pPr>
            <w:r w:rsidRPr="000F70A3">
              <w:t>1/1 (100%)</w:t>
            </w:r>
          </w:p>
        </w:tc>
        <w:tc>
          <w:tcPr>
            <w:tcW w:w="0" w:type="auto"/>
            <w:shd w:val="clear" w:color="auto" w:fill="auto"/>
          </w:tcPr>
          <w:p w14:paraId="5E3CD4E0" w14:textId="77777777" w:rsidR="000F70A3" w:rsidRPr="000F70A3" w:rsidRDefault="000F70A3" w:rsidP="00EA4CC6">
            <w:pPr>
              <w:pStyle w:val="72TabletextTablesTableFigureBoxstyles"/>
            </w:pPr>
            <w:r w:rsidRPr="000F70A3">
              <w:t>-</w:t>
            </w:r>
          </w:p>
        </w:tc>
        <w:tc>
          <w:tcPr>
            <w:tcW w:w="0" w:type="auto"/>
            <w:shd w:val="clear" w:color="auto" w:fill="auto"/>
          </w:tcPr>
          <w:p w14:paraId="5EBF7DAC" w14:textId="77777777" w:rsidR="000F70A3" w:rsidRPr="000F70A3" w:rsidRDefault="000F70A3" w:rsidP="00EA4CC6">
            <w:pPr>
              <w:pStyle w:val="72TabletextTablesTableFigureBoxstyles"/>
            </w:pPr>
            <w:r w:rsidRPr="000F70A3">
              <w:t>-</w:t>
            </w:r>
          </w:p>
        </w:tc>
      </w:tr>
      <w:tr w:rsidR="000F70A3" w:rsidRPr="000F70A3" w14:paraId="19035148" w14:textId="77777777" w:rsidTr="0059567E">
        <w:trPr>
          <w:cantSplit/>
        </w:trPr>
        <w:tc>
          <w:tcPr>
            <w:tcW w:w="0" w:type="auto"/>
            <w:shd w:val="clear" w:color="auto" w:fill="auto"/>
          </w:tcPr>
          <w:p w14:paraId="79AAD6F4" w14:textId="7B04D97B" w:rsidR="000F70A3" w:rsidRPr="00EA4CC6" w:rsidRDefault="000F70A3" w:rsidP="00EA4CC6">
            <w:pPr>
              <w:pStyle w:val="72TabletextTablesTableFigureBoxstyles"/>
            </w:pPr>
            <w:r w:rsidRPr="000F70A3">
              <w:t xml:space="preserve">Methicillin-resistant </w:t>
            </w:r>
            <w:r w:rsidRPr="000F70A3">
              <w:rPr>
                <w:i/>
                <w:color w:val="00B0F0"/>
              </w:rPr>
              <w:t>Staphylococcus aureus</w:t>
            </w:r>
            <w:r w:rsidRPr="000F70A3">
              <w:t xml:space="preserve"> (MRSA) Cefoxitin Resistant</w:t>
            </w:r>
          </w:p>
        </w:tc>
        <w:tc>
          <w:tcPr>
            <w:tcW w:w="0" w:type="auto"/>
            <w:shd w:val="clear" w:color="auto" w:fill="auto"/>
          </w:tcPr>
          <w:p w14:paraId="2A05598F" w14:textId="77777777" w:rsidR="000F70A3" w:rsidRPr="000F70A3" w:rsidRDefault="000F70A3" w:rsidP="00EA4CC6">
            <w:pPr>
              <w:pStyle w:val="72TabletextTablesTableFigureBoxstyles"/>
            </w:pPr>
            <w:r w:rsidRPr="000F70A3">
              <w:t>0/4 (0%)</w:t>
            </w:r>
          </w:p>
        </w:tc>
        <w:tc>
          <w:tcPr>
            <w:tcW w:w="0" w:type="auto"/>
            <w:shd w:val="clear" w:color="auto" w:fill="auto"/>
          </w:tcPr>
          <w:p w14:paraId="2A4993CC" w14:textId="77777777" w:rsidR="000F70A3" w:rsidRPr="000F70A3" w:rsidRDefault="000F70A3" w:rsidP="00EA4CC6">
            <w:pPr>
              <w:pStyle w:val="72TabletextTablesTableFigureBoxstyles"/>
            </w:pPr>
            <w:r w:rsidRPr="000F70A3">
              <w:t>0/1 (0%)</w:t>
            </w:r>
          </w:p>
        </w:tc>
        <w:tc>
          <w:tcPr>
            <w:tcW w:w="0" w:type="auto"/>
            <w:shd w:val="clear" w:color="auto" w:fill="auto"/>
          </w:tcPr>
          <w:p w14:paraId="63B7D292" w14:textId="77777777" w:rsidR="000F70A3" w:rsidRPr="000F70A3" w:rsidRDefault="000F70A3" w:rsidP="00EA4CC6">
            <w:pPr>
              <w:pStyle w:val="72TabletextTablesTableFigureBoxstyles"/>
            </w:pPr>
            <w:r w:rsidRPr="000F70A3">
              <w:t>0/2 (0%)</w:t>
            </w:r>
          </w:p>
        </w:tc>
        <w:tc>
          <w:tcPr>
            <w:tcW w:w="0" w:type="auto"/>
            <w:shd w:val="clear" w:color="auto" w:fill="auto"/>
          </w:tcPr>
          <w:p w14:paraId="1E162699" w14:textId="77777777" w:rsidR="000F70A3" w:rsidRPr="000F70A3" w:rsidRDefault="000F70A3" w:rsidP="00EA4CC6">
            <w:pPr>
              <w:pStyle w:val="72TabletextTablesTableFigureBoxstyles"/>
            </w:pPr>
            <w:r w:rsidRPr="000F70A3">
              <w:t>-</w:t>
            </w:r>
          </w:p>
        </w:tc>
        <w:tc>
          <w:tcPr>
            <w:tcW w:w="0" w:type="auto"/>
            <w:shd w:val="clear" w:color="auto" w:fill="auto"/>
          </w:tcPr>
          <w:p w14:paraId="52D38336" w14:textId="77777777" w:rsidR="000F70A3" w:rsidRPr="000F70A3" w:rsidRDefault="000F70A3" w:rsidP="00EA4CC6">
            <w:pPr>
              <w:pStyle w:val="72TabletextTablesTableFigureBoxstyles"/>
            </w:pPr>
            <w:r w:rsidRPr="000F70A3">
              <w:t>1/2 (50%)</w:t>
            </w:r>
          </w:p>
        </w:tc>
        <w:tc>
          <w:tcPr>
            <w:tcW w:w="0" w:type="auto"/>
            <w:shd w:val="clear" w:color="auto" w:fill="auto"/>
          </w:tcPr>
          <w:p w14:paraId="175DA156" w14:textId="77777777" w:rsidR="000F70A3" w:rsidRPr="000F70A3" w:rsidRDefault="000F70A3" w:rsidP="00EA4CC6">
            <w:pPr>
              <w:pStyle w:val="72TabletextTablesTableFigureBoxstyles"/>
            </w:pPr>
            <w:r w:rsidRPr="000F70A3">
              <w:t>0/1 (0%)</w:t>
            </w:r>
          </w:p>
        </w:tc>
        <w:tc>
          <w:tcPr>
            <w:tcW w:w="0" w:type="auto"/>
            <w:shd w:val="clear" w:color="auto" w:fill="auto"/>
          </w:tcPr>
          <w:p w14:paraId="7E03173C" w14:textId="77777777" w:rsidR="000F70A3" w:rsidRPr="000F70A3" w:rsidRDefault="000F70A3" w:rsidP="00EA4CC6">
            <w:pPr>
              <w:pStyle w:val="72TabletextTablesTableFigureBoxstyles"/>
            </w:pPr>
            <w:r w:rsidRPr="000F70A3">
              <w:t>-</w:t>
            </w:r>
          </w:p>
        </w:tc>
        <w:tc>
          <w:tcPr>
            <w:tcW w:w="0" w:type="auto"/>
            <w:shd w:val="clear" w:color="auto" w:fill="auto"/>
          </w:tcPr>
          <w:p w14:paraId="579F6570" w14:textId="77777777" w:rsidR="000F70A3" w:rsidRPr="000F70A3" w:rsidRDefault="000F70A3" w:rsidP="00EA4CC6">
            <w:pPr>
              <w:pStyle w:val="72TabletextTablesTableFigureBoxstyles"/>
            </w:pPr>
            <w:r w:rsidRPr="000F70A3">
              <w:t>-</w:t>
            </w:r>
          </w:p>
        </w:tc>
      </w:tr>
    </w:tbl>
    <w:p w14:paraId="2F51F799" w14:textId="77777777" w:rsidR="000F70A3" w:rsidRPr="000F70A3" w:rsidRDefault="000F70A3" w:rsidP="00EA4CC6">
      <w:pPr>
        <w:pStyle w:val="602TextfoTextstylesTextstyles"/>
      </w:pPr>
      <w:r w:rsidRPr="000F70A3">
        <w:rPr>
          <w:highlight w:val="magenta"/>
        </w:rPr>
        <w:t>Data</w:t>
      </w:r>
      <w:r w:rsidRPr="000F70A3">
        <w:t xml:space="preserve"> presented are number of isolates tested resistant</w:t>
      </w:r>
      <w:r w:rsidRPr="000F70A3">
        <w:rPr>
          <w:color w:val="00B0F0"/>
        </w:rPr>
        <w:t>/</w:t>
      </w:r>
      <w:r w:rsidRPr="000F70A3">
        <w:t>number of isolates tested (%)</w:t>
      </w:r>
    </w:p>
    <w:p w14:paraId="76946426" w14:textId="77777777" w:rsidR="000F70A3" w:rsidRPr="000F70A3" w:rsidRDefault="000F70A3" w:rsidP="00EA4CC6">
      <w:pPr>
        <w:pStyle w:val="53BheadHeadingsHeadingstyles"/>
      </w:pPr>
      <w:r w:rsidRPr="000F70A3">
        <w:t>Interrelationship with other parts of the Programme</w:t>
      </w:r>
    </w:p>
    <w:p w14:paraId="35D2EF28" w14:textId="77777777" w:rsidR="000F70A3" w:rsidRPr="000F70A3" w:rsidRDefault="000F70A3" w:rsidP="00EA4CC6">
      <w:pPr>
        <w:pStyle w:val="602TextfoTextstylesTextstyles"/>
      </w:pPr>
      <w:r w:rsidRPr="000F70A3">
        <w:t>This work addresses issues raised during our preliminary Patient and Public Involvement work and in work package b around parents</w:t>
      </w:r>
      <w:r w:rsidRPr="000F70A3">
        <w:rPr>
          <w:color w:val="00B0F0"/>
        </w:rPr>
        <w:t>’</w:t>
      </w:r>
      <w:r w:rsidRPr="000F70A3">
        <w:t xml:space="preserve"> beliefs concerning response failure, antimicrobial resistance and general attitudes towards appropriate antibiotic use. It also addresses clinicians</w:t>
      </w:r>
      <w:r w:rsidRPr="000F70A3">
        <w:rPr>
          <w:color w:val="00B0F0"/>
        </w:rPr>
        <w:t>’</w:t>
      </w:r>
      <w:r w:rsidRPr="000F70A3">
        <w:t xml:space="preserve"> uncertainty about when to prescribe antibiotics. The sub study nested within our trial does not provide evidence that an additional course of co-amoxiclav impacts upon respiratory bacterial carriage or antimicrobial resistance which is important information for stakeholders such as parents and clinicians when discussing if antibiotic treatment would be appropriate when a child present withILI.</w:t>
      </w:r>
    </w:p>
    <w:p w14:paraId="782D93FD" w14:textId="77777777" w:rsidR="000F70A3" w:rsidRPr="000F70A3" w:rsidRDefault="000F70A3" w:rsidP="00EA4CC6">
      <w:pPr>
        <w:pStyle w:val="602TextfoTextstylesTextstyles"/>
      </w:pPr>
      <w:r w:rsidRPr="000F70A3">
        <w:t>In appendix 2 (</w:t>
      </w:r>
      <w:r w:rsidRPr="000F70A3">
        <w:rPr>
          <w:i/>
          <w:color w:val="00B0F0"/>
        </w:rPr>
        <w:t>p</w:t>
      </w:r>
      <w:r w:rsidRPr="000F70A3">
        <w:t xml:space="preserve"> 72) is a summary of our nested sub study findings.</w:t>
      </w:r>
    </w:p>
    <w:p w14:paraId="07935589" w14:textId="77777777" w:rsidR="000F70A3" w:rsidRPr="000F70A3" w:rsidRDefault="000F70A3" w:rsidP="00EA4CC6">
      <w:pPr>
        <w:pStyle w:val="52AheadHeadingsHeadingstyles"/>
        <w:rPr>
          <w:rFonts w:eastAsia="DengXian Light"/>
        </w:rPr>
      </w:pPr>
      <w:bookmarkStart w:id="25" w:name="_Toc61506836"/>
      <w:bookmarkStart w:id="26" w:name="_Toc106099130"/>
      <w:r w:rsidRPr="000F70A3">
        <w:rPr>
          <w:rFonts w:eastAsia="DengXian Light"/>
        </w:rPr>
        <w:t>Addressing Objective 8: To develop and validate risk scores for influenza-related clinical deterioration and complications for use in children with influenza/ILI (work package E</w:t>
      </w:r>
      <w:bookmarkEnd w:id="25"/>
      <w:r w:rsidRPr="000F70A3">
        <w:rPr>
          <w:rFonts w:eastAsia="DengXian Light"/>
        </w:rPr>
        <w:t>.I)</w:t>
      </w:r>
      <w:bookmarkEnd w:id="26"/>
    </w:p>
    <w:p w14:paraId="3A452FBA" w14:textId="77777777" w:rsidR="000F70A3" w:rsidRPr="000F70A3" w:rsidRDefault="000F70A3" w:rsidP="00EA4CC6">
      <w:pPr>
        <w:pStyle w:val="602TextfoTextstylesTextstyles"/>
      </w:pPr>
      <w:r w:rsidRPr="000F70A3">
        <w:t xml:space="preserve">Our qualitative work (work package b) indicates there is uncertainty over which </w:t>
      </w:r>
      <w:r w:rsidRPr="000F70A3">
        <w:rPr>
          <w:color w:val="00B0F0"/>
        </w:rPr>
        <w:t>‘</w:t>
      </w:r>
      <w:r w:rsidRPr="000F70A3">
        <w:t>at risk</w:t>
      </w:r>
      <w:r w:rsidRPr="000F70A3">
        <w:rPr>
          <w:color w:val="00B0F0"/>
        </w:rPr>
        <w:t>’</w:t>
      </w:r>
      <w:r w:rsidRPr="000F70A3">
        <w:t xml:space="preserve"> children may benefit the most from early antibiotic treatment during an influenza-like illness. Additionally there is growing concern over prescribing antibiotics unnecessarily and driving antimicrobial resistance. The development of Risk Reduction Scores would assist with decision-making surrounding these issues.</w:t>
      </w:r>
    </w:p>
    <w:p w14:paraId="0B44CCF0" w14:textId="77777777" w:rsidR="000F70A3" w:rsidRPr="000F70A3" w:rsidRDefault="000F70A3" w:rsidP="00EA4CC6">
      <w:pPr>
        <w:pStyle w:val="53BheadHeadingsHeadingstyles"/>
      </w:pPr>
      <w:r w:rsidRPr="000F70A3">
        <w:t>Aims</w:t>
      </w:r>
    </w:p>
    <w:p w14:paraId="6976C8E9" w14:textId="77777777" w:rsidR="000F70A3" w:rsidRPr="000F70A3" w:rsidRDefault="000F70A3" w:rsidP="005F5542">
      <w:pPr>
        <w:pStyle w:val="602TextfoTextstylesTextstyles"/>
      </w:pPr>
      <w:r w:rsidRPr="000F70A3">
        <w:t>We aimed to provide evidence based guidance which clinicians can use to target early co-amoxiclav treatment at those children who may gain greatest clinical benefit from it.</w:t>
      </w:r>
    </w:p>
    <w:p w14:paraId="0D06758E" w14:textId="77777777" w:rsidR="000F70A3" w:rsidRPr="000F70A3" w:rsidRDefault="000F70A3" w:rsidP="005F5542">
      <w:pPr>
        <w:pStyle w:val="53BheadHeadingsHeadingstyles"/>
      </w:pPr>
      <w:r w:rsidRPr="000F70A3">
        <w:t>Methods</w:t>
      </w:r>
    </w:p>
    <w:p w14:paraId="4BD87312" w14:textId="77777777" w:rsidR="000F70A3" w:rsidRPr="000F70A3" w:rsidRDefault="000F70A3" w:rsidP="005F5542">
      <w:pPr>
        <w:pStyle w:val="602TextfoTextstylesTextstyles"/>
        <w:rPr>
          <w:rFonts w:cs="Calibri"/>
        </w:rPr>
      </w:pPr>
      <w:r w:rsidRPr="000F70A3">
        <w:t xml:space="preserve">As part of work package c we collected baseline </w:t>
      </w:r>
      <w:r w:rsidRPr="000F70A3">
        <w:rPr>
          <w:highlight w:val="magenta"/>
        </w:rPr>
        <w:t>data</w:t>
      </w:r>
      <w:r w:rsidRPr="000F70A3">
        <w:t xml:space="preserve"> from each participant on potential risk factors for influenza-related clinical deterioration and complications with the aim of developing four </w:t>
      </w:r>
      <w:r w:rsidRPr="000F70A3">
        <w:rPr>
          <w:rFonts w:cs="Calibri"/>
        </w:rPr>
        <w:t>multivariable risk score models</w:t>
      </w:r>
      <w:r w:rsidRPr="000F70A3">
        <w:t>. Our selection of risk factors were age, type of co-morbidity, household smoking status, administration of the pneumococcal conjugate vaccine (PCV), duration of illness, heart rate, respiratory rate, laboratory-confirmed influenza, receipt of current season</w:t>
      </w:r>
      <w:r w:rsidRPr="000F70A3">
        <w:rPr>
          <w:color w:val="00B0F0"/>
        </w:rPr>
        <w:t>’</w:t>
      </w:r>
      <w:r w:rsidRPr="000F70A3">
        <w:t>s influenza vaccination, and receipt of previous season</w:t>
      </w:r>
      <w:r w:rsidRPr="000F70A3">
        <w:rPr>
          <w:color w:val="00B0F0"/>
        </w:rPr>
        <w:t>’</w:t>
      </w:r>
      <w:r w:rsidRPr="000F70A3">
        <w:t xml:space="preserve">s influenza vaccination. </w:t>
      </w:r>
      <w:r w:rsidRPr="000F70A3">
        <w:rPr>
          <w:rFonts w:cs="Calibri"/>
        </w:rPr>
        <w:t xml:space="preserve">For each risk score, our intention was to form three risk subgroups (low, medium and high risk). When estimating the sample size for work package c, we estimated that around 40% of children in the placebo group would re-consult </w:t>
      </w:r>
      <w:r w:rsidRPr="000F70A3">
        <w:rPr>
          <w:rFonts w:cs="Calibri"/>
          <w:highlight w:val="magenta"/>
        </w:rPr>
        <w:t>due to</w:t>
      </w:r>
      <w:r w:rsidRPr="000F70A3">
        <w:rPr>
          <w:rFonts w:cs="Calibri"/>
        </w:rPr>
        <w:t xml:space="preserve"> clinical deterioration. Based on this, we pre-specified that medium risk would be defined as 30</w:t>
      </w:r>
      <w:r w:rsidRPr="000F70A3">
        <w:rPr>
          <w:rFonts w:cs="Calibri"/>
          <w:color w:val="00B0F0"/>
        </w:rPr>
        <w:t>–4</w:t>
      </w:r>
      <w:r w:rsidRPr="000F70A3">
        <w:rPr>
          <w:rFonts w:cs="Calibri"/>
        </w:rPr>
        <w:t xml:space="preserve">0%, low risk as </w:t>
      </w:r>
      <w:r w:rsidRPr="000F70A3">
        <w:rPr>
          <w:rFonts w:cs="Calibri"/>
          <w:color w:val="00B0F0"/>
        </w:rPr>
        <w:t>&lt; 3</w:t>
      </w:r>
      <w:r w:rsidRPr="000F70A3">
        <w:rPr>
          <w:rFonts w:cs="Calibri"/>
        </w:rPr>
        <w:t xml:space="preserve">0% and high risk as </w:t>
      </w:r>
      <w:r w:rsidRPr="000F70A3">
        <w:rPr>
          <w:rFonts w:cs="Calibri"/>
          <w:color w:val="00B0F0"/>
        </w:rPr>
        <w:t>&gt; 4</w:t>
      </w:r>
      <w:r w:rsidRPr="000F70A3">
        <w:rPr>
          <w:rFonts w:cs="Calibri"/>
        </w:rPr>
        <w:t>0%.</w:t>
      </w:r>
    </w:p>
    <w:p w14:paraId="49C35301" w14:textId="77777777" w:rsidR="000F70A3" w:rsidRPr="000F70A3" w:rsidRDefault="000F70A3" w:rsidP="005F5542">
      <w:pPr>
        <w:pStyle w:val="53BheadHeadingsHeadingstyles"/>
      </w:pPr>
      <w:r w:rsidRPr="000F70A3">
        <w:t>Analysis</w:t>
      </w:r>
    </w:p>
    <w:p w14:paraId="6554228E" w14:textId="77777777" w:rsidR="000F70A3" w:rsidRPr="000F70A3" w:rsidRDefault="000F70A3" w:rsidP="005F5542">
      <w:pPr>
        <w:pStyle w:val="602TextfoTextstylesTextstyles"/>
      </w:pPr>
      <w:r w:rsidRPr="000F70A3">
        <w:t xml:space="preserve">The number of primary outcome events we observed in our trial population was not sufficient to produce risk scores as described above. Instead, we analysed risk factors using logistic regression in relation to re-consultation </w:t>
      </w:r>
      <w:r w:rsidRPr="000F70A3">
        <w:rPr>
          <w:highlight w:val="magenta"/>
        </w:rPr>
        <w:t>due to</w:t>
      </w:r>
      <w:r w:rsidRPr="000F70A3">
        <w:t xml:space="preserve"> clinical deterioration (our primary outcome).</w:t>
      </w:r>
    </w:p>
    <w:p w14:paraId="67BE8F94" w14:textId="77777777" w:rsidR="000F70A3" w:rsidRPr="000F70A3" w:rsidRDefault="000F70A3" w:rsidP="005F5542">
      <w:pPr>
        <w:pStyle w:val="602TextfoTextstylesTextstyles"/>
      </w:pPr>
      <w:r w:rsidRPr="000F70A3">
        <w:t xml:space="preserve">A univariable analysis was performed on each risk factor and those that had an association with a </w:t>
      </w:r>
      <w:r w:rsidRPr="000F70A3">
        <w:rPr>
          <w:i/>
          <w:color w:val="00B0F0"/>
        </w:rPr>
        <w:t>p</w:t>
      </w:r>
      <w:r w:rsidRPr="000F70A3">
        <w:t xml:space="preserve">-value </w:t>
      </w:r>
      <w:r w:rsidRPr="000F70A3">
        <w:rPr>
          <w:color w:val="00B0F0"/>
        </w:rPr>
        <w:t>&lt; 0</w:t>
      </w:r>
      <w:r w:rsidRPr="000F70A3">
        <w:t xml:space="preserve">.1 were included in a multivariate model. Age was included in all evaluations, including </w:t>
      </w:r>
      <w:r w:rsidRPr="000F70A3">
        <w:rPr>
          <w:color w:val="00B0F0"/>
        </w:rPr>
        <w:t>‘</w:t>
      </w:r>
      <w:r w:rsidRPr="000F70A3">
        <w:t>univariable</w:t>
      </w:r>
      <w:r w:rsidRPr="000F70A3">
        <w:rPr>
          <w:color w:val="00B0F0"/>
        </w:rPr>
        <w:t>’</w:t>
      </w:r>
      <w:r w:rsidRPr="000F70A3">
        <w:t xml:space="preserve"> ones.</w:t>
      </w:r>
    </w:p>
    <w:p w14:paraId="1497137C" w14:textId="77777777" w:rsidR="000F70A3" w:rsidRPr="000F70A3" w:rsidRDefault="000F70A3" w:rsidP="005F5542">
      <w:pPr>
        <w:pStyle w:val="53BheadHeadingsHeadingstyles"/>
      </w:pPr>
      <w:r w:rsidRPr="000F70A3">
        <w:t>Strengths and Limitations</w:t>
      </w:r>
    </w:p>
    <w:p w14:paraId="02D3330C" w14:textId="77777777" w:rsidR="000F70A3" w:rsidRPr="000F70A3" w:rsidRDefault="000F70A3" w:rsidP="005F5542">
      <w:pPr>
        <w:pStyle w:val="602TextfoTextstylesTextstyles"/>
      </w:pPr>
      <w:r w:rsidRPr="000F70A3">
        <w:t xml:space="preserve">Strengths of this analysis include representation of a range of potential risk factors and the absence of confounding </w:t>
      </w:r>
      <w:r w:rsidRPr="000F70A3">
        <w:rPr>
          <w:highlight w:val="magenta"/>
        </w:rPr>
        <w:t>due to</w:t>
      </w:r>
      <w:r w:rsidRPr="000F70A3">
        <w:t xml:space="preserve"> indication in relation to antibiotic use, since co-amoxiclav and placebo were randomly allocated during our randomised controlled trial.</w:t>
      </w:r>
    </w:p>
    <w:p w14:paraId="7B5A1345" w14:textId="77777777" w:rsidR="000F70A3" w:rsidRPr="000F70A3" w:rsidRDefault="000F70A3" w:rsidP="005F5542">
      <w:pPr>
        <w:pStyle w:val="602TextfoTextstylesTextstyles"/>
      </w:pPr>
      <w:r w:rsidRPr="000F70A3">
        <w:t xml:space="preserve">We were unable to calculate risk scores in relation to clinical intervention </w:t>
      </w:r>
      <w:r w:rsidRPr="000F70A3">
        <w:rPr>
          <w:highlight w:val="magenta"/>
        </w:rPr>
        <w:t>due to</w:t>
      </w:r>
      <w:r w:rsidRPr="000F70A3">
        <w:t xml:space="preserve"> an insufficient number of these outcomes in our trial population. The number of primary outcome events we observed was also not sufficient for us to calculate sufficiently robust multivariable risk scores to define the three risk groups we had previously specified.</w:t>
      </w:r>
    </w:p>
    <w:p w14:paraId="49A23BF3" w14:textId="77777777" w:rsidR="000F70A3" w:rsidRPr="000F70A3" w:rsidRDefault="000F70A3" w:rsidP="00C36029">
      <w:pPr>
        <w:pStyle w:val="53BheadHeadingsHeadingstyles"/>
      </w:pPr>
      <w:r w:rsidRPr="000F70A3">
        <w:t>Key Findings</w:t>
      </w:r>
    </w:p>
    <w:p w14:paraId="6FE2A9D3" w14:textId="058FE044" w:rsidR="000F70A3" w:rsidRPr="000F70A3" w:rsidRDefault="000F70A3" w:rsidP="001B04F2">
      <w:pPr>
        <w:pStyle w:val="611BulletlistTextstyles"/>
      </w:pPr>
      <w:r w:rsidRPr="000F70A3">
        <w:t xml:space="preserve">Only two variables showed statistically significant associations with re-consultation </w:t>
      </w:r>
      <w:r w:rsidRPr="000F70A3">
        <w:rPr>
          <w:highlight w:val="magenta"/>
        </w:rPr>
        <w:t>due to</w:t>
      </w:r>
      <w:r w:rsidRPr="000F70A3">
        <w:t xml:space="preserve"> clinical deterioration: higher respiratory rate was associated with greater risk of clinical deterioration, whereas presence of one of more smokers in the household was associated with decreased risk of clinical deterioration. However, these findings are based on a multivariable model which only included three baseline covariates (respiratory rate, household smoking status and age) and should be regarded as exploratory only.</w:t>
      </w:r>
    </w:p>
    <w:p w14:paraId="6599E79B" w14:textId="241B7F97" w:rsidR="000F70A3" w:rsidRPr="000F70A3" w:rsidRDefault="000F70A3" w:rsidP="001B04F2">
      <w:pPr>
        <w:pStyle w:val="614TextbulletlistlastTextstylesTextstyles"/>
        <w:rPr>
          <w:i/>
        </w:rPr>
      </w:pPr>
      <w:r w:rsidRPr="000F70A3">
        <w:t xml:space="preserve">No statistically significant associations with re-consultation </w:t>
      </w:r>
      <w:r w:rsidRPr="000F70A3">
        <w:rPr>
          <w:highlight w:val="magenta"/>
        </w:rPr>
        <w:t>due to</w:t>
      </w:r>
      <w:r w:rsidRPr="000F70A3">
        <w:t xml:space="preserve"> clinical deterioration were observed for treatment arm (co-amoxiclav versus placebo), risk factor in respiratory category (versus other risk factors), or recruitment in secondary care versus primary care.</w:t>
      </w:r>
    </w:p>
    <w:p w14:paraId="5C570B22" w14:textId="77777777" w:rsidR="000F70A3" w:rsidRPr="000F70A3" w:rsidRDefault="000F70A3" w:rsidP="001B04F2">
      <w:pPr>
        <w:pStyle w:val="602TextfoTextstylesTextstyles"/>
      </w:pPr>
      <w:r w:rsidRPr="000F70A3">
        <w:t>In Appendix 3 (</w:t>
      </w:r>
      <w:r w:rsidRPr="000F70A3">
        <w:rPr>
          <w:i/>
          <w:color w:val="00B0F0"/>
        </w:rPr>
        <w:t>p</w:t>
      </w:r>
      <w:r w:rsidRPr="000F70A3">
        <w:t xml:space="preserve"> 80) is a summary of our findings.</w:t>
      </w:r>
    </w:p>
    <w:p w14:paraId="125311CA" w14:textId="77777777" w:rsidR="000F70A3" w:rsidRPr="000F70A3" w:rsidRDefault="000F70A3" w:rsidP="001B04F2">
      <w:pPr>
        <w:pStyle w:val="53BheadHeadingsHeadingstyles"/>
      </w:pPr>
      <w:r w:rsidRPr="000F70A3">
        <w:t>Interrelationship with other parts of the Programme</w:t>
      </w:r>
    </w:p>
    <w:p w14:paraId="17DE1E38" w14:textId="77777777" w:rsidR="000F70A3" w:rsidRPr="000F70A3" w:rsidRDefault="000F70A3" w:rsidP="001B04F2">
      <w:pPr>
        <w:pStyle w:val="602TextfoTextstylesTextstyles"/>
      </w:pPr>
      <w:r w:rsidRPr="000F70A3">
        <w:t>This work supports GPs</w:t>
      </w:r>
      <w:r w:rsidRPr="000F70A3">
        <w:rPr>
          <w:color w:val="00B0F0"/>
        </w:rPr>
        <w:t>’</w:t>
      </w:r>
      <w:r w:rsidRPr="000F70A3">
        <w:t xml:space="preserve"> current emphasis on using clinical impression to inform their decisions about antibiotic prescribing in </w:t>
      </w:r>
      <w:r w:rsidRPr="000F70A3">
        <w:rPr>
          <w:color w:val="00B0F0"/>
        </w:rPr>
        <w:t>‘</w:t>
      </w:r>
      <w:r w:rsidRPr="000F70A3">
        <w:t>at risk</w:t>
      </w:r>
      <w:r w:rsidRPr="000F70A3">
        <w:rPr>
          <w:color w:val="00B0F0"/>
        </w:rPr>
        <w:t>’</w:t>
      </w:r>
      <w:r w:rsidRPr="000F70A3">
        <w:t xml:space="preserve"> children presenting with influenza-like illness, as described in work package b. The findings are also consistent with the main finding of work package c, which did not find evidence that early co-amoxiclav treatment reduces risk of re-consultation </w:t>
      </w:r>
      <w:r w:rsidRPr="000F70A3">
        <w:rPr>
          <w:highlight w:val="magenta"/>
        </w:rPr>
        <w:t>due to</w:t>
      </w:r>
      <w:r w:rsidRPr="000F70A3">
        <w:t xml:space="preserve"> clinical deterioration.</w:t>
      </w:r>
    </w:p>
    <w:p w14:paraId="3F3A07C9" w14:textId="77777777" w:rsidR="000F70A3" w:rsidRPr="000F70A3" w:rsidRDefault="000F70A3" w:rsidP="001B04F2">
      <w:pPr>
        <w:pStyle w:val="52AheadHeadingsHeadingstyles"/>
        <w:rPr>
          <w:rFonts w:eastAsia="DengXian Light"/>
        </w:rPr>
      </w:pPr>
      <w:bookmarkStart w:id="27" w:name="_Toc61506837"/>
      <w:bookmarkStart w:id="28" w:name="_Toc106099131"/>
      <w:r w:rsidRPr="000F70A3">
        <w:rPr>
          <w:rFonts w:eastAsia="DengXian Light"/>
        </w:rPr>
        <w:t>Addressing Objective 9: To explore the cost-effectiveness of different potential strategies for early antibiotic use in at risk children with influenza/ILI (work package e</w:t>
      </w:r>
      <w:bookmarkEnd w:id="27"/>
      <w:r w:rsidRPr="000F70A3">
        <w:rPr>
          <w:rFonts w:eastAsia="DengXian Light"/>
        </w:rPr>
        <w:t>.ii)</w:t>
      </w:r>
      <w:bookmarkEnd w:id="28"/>
    </w:p>
    <w:p w14:paraId="304981C3" w14:textId="77777777" w:rsidR="000F70A3" w:rsidRPr="000F70A3" w:rsidRDefault="000F70A3" w:rsidP="001B04F2">
      <w:pPr>
        <w:pStyle w:val="602TextfoTextstylesTextstyles"/>
        <w:rPr>
          <w:rFonts w:eastAsia="Calibri"/>
        </w:rPr>
      </w:pPr>
      <w:r w:rsidRPr="000F70A3">
        <w:rPr>
          <w:rFonts w:eastAsia="Calibri"/>
        </w:rPr>
        <w:t xml:space="preserve">Influenza-like illness places a significant burden on both NHS resources and the resources of individual families with lost school and work days being common and impacting quality of life. In addition to assessing if there is clinical benefit to prescribing co-amoxiclav to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presenting with ILI it is also important to assess the overall benefits to the NHS, individuals and society of this intervention. A health economic analysis will contribute to this assessment.</w:t>
      </w:r>
    </w:p>
    <w:p w14:paraId="0F03E438" w14:textId="77777777" w:rsidR="000F70A3" w:rsidRPr="000F70A3" w:rsidRDefault="000F70A3" w:rsidP="001B04F2">
      <w:pPr>
        <w:pStyle w:val="602TextfoTextstylesTextstyles"/>
        <w:rPr>
          <w:color w:val="0563C1"/>
          <w:u w:val="single"/>
        </w:rPr>
      </w:pPr>
      <w:r w:rsidRPr="000F70A3">
        <w:t xml:space="preserve">Work to inform the design of this research has been previously published as Wolstenholme JL, Bargo D, Wang K, Harnden A, Räisänen U, Abel L. Preference based measures to obtain health state utility values for use in economic evaluations with child-based populations: a review and UK-based focus group assessment of patient and parent choices. </w:t>
      </w:r>
      <w:r w:rsidRPr="000F70A3">
        <w:rPr>
          <w:i/>
        </w:rPr>
        <w:t>Quality of Life Research</w:t>
      </w:r>
      <w:r w:rsidRPr="000F70A3">
        <w:t xml:space="preserve">. 21 Mar 2018 DOI: </w:t>
      </w:r>
      <w:r w:rsidRPr="000F70A3">
        <w:rPr>
          <w:color w:val="0563C1"/>
          <w:u w:val="single"/>
        </w:rPr>
        <w:t>https://doi.org/10.1007/s11136-018-1831-6.</w:t>
      </w:r>
      <w:r w:rsidRPr="000F70A3">
        <w:rPr>
          <w:color w:val="0563C1"/>
        </w:rPr>
        <w:t xml:space="preserve"> </w:t>
      </w:r>
      <w:r w:rsidRPr="000F70A3">
        <w:t>A separate paper discussing the final analysis has been published as Rombach I, Wang K, Tonner S</w:t>
      </w:r>
      <w:r w:rsidRPr="000F70A3">
        <w:rPr>
          <w:i/>
          <w:color w:val="00B0F0"/>
        </w:rPr>
        <w:t xml:space="preserve"> et al</w:t>
      </w:r>
      <w:r w:rsidRPr="000F70A3">
        <w:t xml:space="preserve"> Quality of life, healthcare use and costs in </w:t>
      </w:r>
      <w:r w:rsidRPr="000F70A3">
        <w:rPr>
          <w:color w:val="00B0F0"/>
        </w:rPr>
        <w:t>‘</w:t>
      </w:r>
      <w:r w:rsidRPr="000F70A3">
        <w:t>at-risk</w:t>
      </w:r>
      <w:r w:rsidRPr="000F70A3">
        <w:rPr>
          <w:color w:val="00B0F0"/>
        </w:rPr>
        <w:t>’</w:t>
      </w:r>
      <w:r w:rsidRPr="000F70A3">
        <w:t xml:space="preserve"> children after early antibiotic treatment versus placebo for influenza-like illness: within-trial descriptive economic analyses of the ARCHIE randomised controlled trial. </w:t>
      </w:r>
      <w:r w:rsidRPr="000F70A3">
        <w:rPr>
          <w:i/>
        </w:rPr>
        <w:t xml:space="preserve">BMJ Open </w:t>
      </w:r>
      <w:r w:rsidRPr="000F70A3">
        <w:t xml:space="preserve">April 2022 DOI: </w:t>
      </w:r>
      <w:r w:rsidRPr="000F70A3">
        <w:rPr>
          <w:color w:val="0563C1"/>
        </w:rPr>
        <w:t>http://dx.doi.org/10.1136/bmjopen-2021-049373</w:t>
      </w:r>
    </w:p>
    <w:p w14:paraId="2356EBAC" w14:textId="77777777" w:rsidR="000F70A3" w:rsidRPr="000F70A3" w:rsidRDefault="000F70A3" w:rsidP="001B04F2">
      <w:pPr>
        <w:pStyle w:val="602TextfoTextstylesTextstyles"/>
      </w:pPr>
      <w:r w:rsidRPr="000F70A3">
        <w:t>Some text in this chapter has been reproduced from Rombach</w:t>
      </w:r>
      <w:r w:rsidRPr="000F70A3">
        <w:rPr>
          <w:i/>
          <w:color w:val="00B0F0"/>
        </w:rPr>
        <w:t xml:space="preserve"> et al</w:t>
      </w:r>
      <w:r w:rsidRPr="000F70A3">
        <w:t>.</w:t>
      </w:r>
      <w:r w:rsidRPr="000F70A3">
        <w:rPr>
          <w:noProof/>
          <w:vertAlign w:val="superscript"/>
        </w:rPr>
        <w:t>41</w:t>
      </w:r>
      <w:r w:rsidRPr="000F70A3">
        <w:t xml:space="preserve"> This is an Open Access article distributed in accordance with the terms of the Creative Commons Attribution (CC BY 4.0) </w:t>
      </w:r>
      <w:r w:rsidRPr="000F70A3">
        <w:rPr>
          <w:highlight w:val="magenta"/>
        </w:rPr>
        <w:t>license</w:t>
      </w:r>
      <w:r w:rsidRPr="000F70A3">
        <w:t>,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589BE938" w14:textId="77777777" w:rsidR="000F70A3" w:rsidRPr="000F70A3" w:rsidRDefault="000F70A3" w:rsidP="001B04F2">
      <w:pPr>
        <w:pStyle w:val="53BheadHeadingsHeadingstyles"/>
      </w:pPr>
      <w:r w:rsidRPr="000F70A3">
        <w:t>Aims</w:t>
      </w:r>
    </w:p>
    <w:p w14:paraId="704EEAF9" w14:textId="77777777" w:rsidR="000F70A3" w:rsidRPr="000F70A3" w:rsidRDefault="000F70A3" w:rsidP="001B04F2">
      <w:pPr>
        <w:pStyle w:val="602TextfoTextstylesTextstyles"/>
        <w:rPr>
          <w:rFonts w:eastAsia="Calibri"/>
        </w:rPr>
      </w:pPr>
      <w:r w:rsidRPr="000F70A3">
        <w:rPr>
          <w:rFonts w:eastAsia="Calibri"/>
        </w:rPr>
        <w:t>We aimed to explore different potential strategies for early antibiotic use in at risk children with influenza/ILI in regards to the resource use, costs and health-related quality of life.</w:t>
      </w:r>
    </w:p>
    <w:p w14:paraId="1E99464C" w14:textId="77777777" w:rsidR="000F70A3" w:rsidRPr="000F70A3" w:rsidRDefault="000F70A3" w:rsidP="001B04F2">
      <w:pPr>
        <w:pStyle w:val="53BheadHeadingsHeadingstyles"/>
      </w:pPr>
      <w:r w:rsidRPr="000F70A3">
        <w:t>Methods</w:t>
      </w:r>
    </w:p>
    <w:p w14:paraId="792AA48D" w14:textId="77777777" w:rsidR="000F70A3" w:rsidRPr="000F70A3" w:rsidRDefault="000F70A3" w:rsidP="001B04F2">
      <w:pPr>
        <w:pStyle w:val="602TextfoTextstylesTextstyles"/>
        <w:rPr>
          <w:rFonts w:eastAsia="Calibri"/>
        </w:rPr>
      </w:pPr>
      <w:r w:rsidRPr="000F70A3">
        <w:rPr>
          <w:rFonts w:eastAsia="Calibri"/>
        </w:rPr>
        <w:t xml:space="preserve">A pre-trial economic model was developed to estimate the cost-utility of being prescribed co-amoxiclav for five days </w:t>
      </w:r>
      <w:r w:rsidRPr="000F70A3">
        <w:rPr>
          <w:rFonts w:eastAsia="Calibri"/>
          <w:highlight w:val="magenta"/>
        </w:rPr>
        <w:t>compared to</w:t>
      </w:r>
      <w:r w:rsidRPr="000F70A3">
        <w:rPr>
          <w:rFonts w:eastAsia="Calibri"/>
        </w:rPr>
        <w:t xml:space="preserve"> antipyretics. A literature review was conducted to evaluate the current economic evaluation evidence on prescribing antibiotics for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for the treatment of influenza. Nine-hundred and eleven articles were identified for the literature review, with 104 full articles read for relevance. Five publications were identified as relevant. A decision tree, with a one-year time horizon was developed using evidence from the literature review and the prognostic systematic review detailed in work package a to inform the model parameters.</w:t>
      </w:r>
    </w:p>
    <w:p w14:paraId="73F7B858" w14:textId="77777777" w:rsidR="000F70A3" w:rsidRPr="000F70A3" w:rsidRDefault="000F70A3" w:rsidP="001B04F2">
      <w:pPr>
        <w:pStyle w:val="602TextfoTextstylesTextstyles"/>
        <w:rPr>
          <w:rFonts w:eastAsia="Calibri"/>
        </w:rPr>
      </w:pPr>
      <w:r w:rsidRPr="000F70A3">
        <w:rPr>
          <w:rFonts w:eastAsia="Calibri"/>
        </w:rPr>
        <w:t>In order to support the development of work package c and e.ii, a literature review was conducted to determine which instrument is most frequently used for child-based economic evaluations and whether child or proxy responses are preferred. Instruments were compared on: dimensions, severity levels, elicitation and valuation methods, availability of value sets and validation studies, and the range of utility values generated. Additionally two focus groups, of parents and young people (11</w:t>
      </w:r>
      <w:r w:rsidRPr="000F70A3">
        <w:rPr>
          <w:rFonts w:eastAsia="Calibri"/>
          <w:color w:val="00B0F0"/>
        </w:rPr>
        <w:t>–2</w:t>
      </w:r>
      <w:r w:rsidRPr="000F70A3">
        <w:rPr>
          <w:rFonts w:eastAsia="Calibri"/>
        </w:rPr>
        <w:t>0 years), were convened to determine patient and proxy preferences across a number of suitable instruments. This qualitative work was undertaken as part of work package b and is summarised below in the Patient and Public Involvement section.</w:t>
      </w:r>
    </w:p>
    <w:p w14:paraId="01680361" w14:textId="77777777" w:rsidR="000F70A3" w:rsidRPr="000F70A3" w:rsidRDefault="000F70A3" w:rsidP="001B04F2">
      <w:pPr>
        <w:pStyle w:val="602TextfoTextstylesTextstyles"/>
        <w:rPr>
          <w:rFonts w:eastAsia="Calibri"/>
        </w:rPr>
      </w:pPr>
      <w:r w:rsidRPr="000F70A3">
        <w:rPr>
          <w:rFonts w:eastAsia="Calibri"/>
        </w:rPr>
        <w:t>The E</w:t>
      </w:r>
      <w:r w:rsidRPr="000F70A3">
        <w:rPr>
          <w:rFonts w:eastAsia="Calibri"/>
          <w:color w:val="00B0F0"/>
        </w:rPr>
        <w:t>Q-5</w:t>
      </w:r>
      <w:r w:rsidRPr="000F70A3">
        <w:rPr>
          <w:rFonts w:eastAsia="Calibri"/>
        </w:rPr>
        <w:t>D 3 level youth version (E</w:t>
      </w:r>
      <w:r w:rsidRPr="000F70A3">
        <w:rPr>
          <w:rFonts w:eastAsia="Calibri"/>
          <w:color w:val="00B0F0"/>
        </w:rPr>
        <w:t>Q-5</w:t>
      </w:r>
      <w:r w:rsidRPr="000F70A3">
        <w:rPr>
          <w:rFonts w:eastAsia="Calibri"/>
        </w:rPr>
        <w:t>D-Y) and The Canadian Acute Respiratory Infection and Flu Scale (CARIFS) were the validated questionnaires selected for use in work package c based on the pre-trial findings. The E</w:t>
      </w:r>
      <w:r w:rsidRPr="000F70A3">
        <w:rPr>
          <w:rFonts w:eastAsia="Calibri"/>
          <w:color w:val="00B0F0"/>
        </w:rPr>
        <w:t>Q-5D-3</w:t>
      </w:r>
      <w:r w:rsidRPr="000F70A3">
        <w:rPr>
          <w:rFonts w:eastAsia="Calibri"/>
        </w:rPr>
        <w:t xml:space="preserve">Y (descriptive system and visual analogue scale) was administered at baseline, days 4, 7, 14 and 28 and the CARIFS at baseline and day 7. Self-reported health care use was collected in the study diaries with regards to medication use, hospital visits and admissions, GP and nurse contacts. Information on the number of days children were unable to attend school or nursery, and subsequent changes to childcare requirements were also collected. These </w:t>
      </w:r>
      <w:r w:rsidRPr="000F70A3">
        <w:rPr>
          <w:rFonts w:eastAsia="Calibri"/>
          <w:highlight w:val="magenta"/>
        </w:rPr>
        <w:t>data</w:t>
      </w:r>
      <w:r w:rsidRPr="000F70A3">
        <w:rPr>
          <w:rFonts w:eastAsia="Calibri"/>
        </w:rPr>
        <w:t xml:space="preserve"> were collected in weekly diaries on days 7, 14, 21 and 28, requiring recall of health care resource use and daily activities over the previous week. </w:t>
      </w:r>
      <w:r w:rsidRPr="000F70A3">
        <w:rPr>
          <w:rFonts w:eastAsia="Calibri"/>
          <w:highlight w:val="magenta"/>
        </w:rPr>
        <w:t>Data</w:t>
      </w:r>
      <w:r w:rsidRPr="000F70A3">
        <w:rPr>
          <w:rFonts w:eastAsia="Calibri"/>
        </w:rPr>
        <w:t xml:space="preserve"> collected from the patients</w:t>
      </w:r>
      <w:r w:rsidRPr="000F70A3">
        <w:rPr>
          <w:rFonts w:eastAsia="Calibri"/>
          <w:color w:val="00B0F0"/>
        </w:rPr>
        <w:t>’</w:t>
      </w:r>
      <w:r w:rsidRPr="000F70A3">
        <w:rPr>
          <w:rFonts w:eastAsia="Calibri"/>
        </w:rPr>
        <w:t xml:space="preserve"> medical notes as part of work package c on the number of re-consultations, antibiotics and other drugs given, chest </w:t>
      </w:r>
      <w:r w:rsidRPr="000F70A3">
        <w:rPr>
          <w:rFonts w:eastAsia="Calibri"/>
          <w:color w:val="00B0F0"/>
          <w:highlight w:val="magenta"/>
        </w:rPr>
        <w:t>X-ray</w:t>
      </w:r>
      <w:r w:rsidRPr="000F70A3">
        <w:rPr>
          <w:rFonts w:eastAsia="Calibri"/>
          <w:highlight w:val="magenta"/>
        </w:rPr>
        <w:t>s</w:t>
      </w:r>
      <w:r w:rsidRPr="000F70A3">
        <w:rPr>
          <w:rFonts w:eastAsia="Calibri"/>
        </w:rPr>
        <w:t xml:space="preserve"> and other investigations performed were also used in the estimation of health resource use. Where health care resource use </w:t>
      </w:r>
      <w:r w:rsidRPr="000F70A3">
        <w:rPr>
          <w:rFonts w:eastAsia="Calibri"/>
          <w:highlight w:val="magenta"/>
        </w:rPr>
        <w:t>data</w:t>
      </w:r>
      <w:r w:rsidRPr="000F70A3">
        <w:rPr>
          <w:rFonts w:eastAsia="Calibri"/>
        </w:rPr>
        <w:t xml:space="preserve"> were available from both self-report and medical notes reviews, the (more complete) </w:t>
      </w:r>
      <w:r w:rsidRPr="000F70A3">
        <w:rPr>
          <w:rFonts w:eastAsia="Calibri"/>
          <w:highlight w:val="magenta"/>
        </w:rPr>
        <w:t>data</w:t>
      </w:r>
      <w:r w:rsidRPr="000F70A3">
        <w:rPr>
          <w:rFonts w:eastAsia="Calibri"/>
        </w:rPr>
        <w:t xml:space="preserve"> from the medical notes reviews were used to estimate the costs.</w:t>
      </w:r>
    </w:p>
    <w:p w14:paraId="0E565A03" w14:textId="77777777" w:rsidR="000F70A3" w:rsidRPr="000F70A3" w:rsidRDefault="000F70A3" w:rsidP="001B04F2">
      <w:pPr>
        <w:pStyle w:val="53BheadHeadingsHeadingstyles"/>
      </w:pPr>
      <w:r w:rsidRPr="000F70A3">
        <w:t>Analysis</w:t>
      </w:r>
    </w:p>
    <w:p w14:paraId="21C7DA4B" w14:textId="77777777" w:rsidR="000F70A3" w:rsidRPr="000F70A3" w:rsidRDefault="000F70A3" w:rsidP="001B04F2">
      <w:pPr>
        <w:pStyle w:val="602TextfoTextstylesTextstyles"/>
      </w:pPr>
      <w:r w:rsidRPr="000F70A3">
        <w:t>Pre-trial decision model cost-effectiveness analysis:</w:t>
      </w:r>
    </w:p>
    <w:p w14:paraId="0B0E2CE1" w14:textId="77777777" w:rsidR="000F70A3" w:rsidRPr="000F70A3" w:rsidRDefault="000F70A3" w:rsidP="001B04F2">
      <w:pPr>
        <w:pStyle w:val="602TextfoTextstylesTextstyles"/>
        <w:rPr>
          <w:rFonts w:eastAsia="Calibri"/>
        </w:rPr>
      </w:pPr>
      <w:r w:rsidRPr="000F70A3">
        <w:rPr>
          <w:rFonts w:eastAsia="Calibri"/>
        </w:rPr>
        <w:t xml:space="preserve">The incremental </w:t>
      </w:r>
      <w:r w:rsidRPr="000F70A3">
        <w:rPr>
          <w:rFonts w:eastAsia="Calibri"/>
          <w:color w:val="00B0F0"/>
        </w:rPr>
        <w:t>cost-effectiveness ratio</w:t>
      </w:r>
      <w:r w:rsidRPr="000F70A3">
        <w:rPr>
          <w:rFonts w:eastAsia="Calibri"/>
        </w:rPr>
        <w:t xml:space="preserve"> (ICER) in terms of the cost per </w:t>
      </w:r>
      <w:r w:rsidRPr="000F70A3">
        <w:rPr>
          <w:rFonts w:eastAsia="Calibri"/>
          <w:color w:val="00B0F0"/>
        </w:rPr>
        <w:t>Quality-adjusted</w:t>
      </w:r>
      <w:r w:rsidRPr="000F70A3">
        <w:rPr>
          <w:rFonts w:eastAsia="Calibri"/>
        </w:rPr>
        <w:t xml:space="preserve"> </w:t>
      </w:r>
      <w:r w:rsidRPr="000F70A3">
        <w:rPr>
          <w:rFonts w:eastAsia="Calibri"/>
          <w:color w:val="00B0F0"/>
        </w:rPr>
        <w:t>Life-year</w:t>
      </w:r>
      <w:r w:rsidRPr="000F70A3">
        <w:rPr>
          <w:rFonts w:eastAsia="Calibri"/>
        </w:rPr>
        <w:t xml:space="preserve"> (QALY) of being prescribed co-amoxiclav for five days </w:t>
      </w:r>
      <w:r w:rsidRPr="000F70A3">
        <w:rPr>
          <w:rFonts w:eastAsia="Calibri"/>
          <w:highlight w:val="magenta"/>
        </w:rPr>
        <w:t>compared to</w:t>
      </w:r>
      <w:r w:rsidRPr="000F70A3">
        <w:rPr>
          <w:rFonts w:eastAsia="Calibri"/>
        </w:rPr>
        <w:t xml:space="preserve"> antipyretics was estimated. A sub-group analysis was undertaken to explore the impact age on the base-case results. Uncertainty was explored using one-way and probabilistic sensitivity analysis.</w:t>
      </w:r>
    </w:p>
    <w:p w14:paraId="39DC635B" w14:textId="77777777" w:rsidR="000F70A3" w:rsidRPr="000F70A3" w:rsidRDefault="000F70A3" w:rsidP="001B04F2">
      <w:pPr>
        <w:pStyle w:val="602TextfoTextstylesTextstyles"/>
        <w:rPr>
          <w:rFonts w:eastAsia="Calibri"/>
        </w:rPr>
      </w:pPr>
      <w:r w:rsidRPr="000F70A3">
        <w:rPr>
          <w:rFonts w:eastAsia="Calibri"/>
        </w:rPr>
        <w:t>Within-trial analysis:</w:t>
      </w:r>
    </w:p>
    <w:p w14:paraId="56DC7150" w14:textId="77777777" w:rsidR="000F70A3" w:rsidRPr="000F70A3" w:rsidRDefault="000F70A3" w:rsidP="001B04F2">
      <w:pPr>
        <w:pStyle w:val="602TextfoTextstylesTextstyles"/>
        <w:rPr>
          <w:rFonts w:eastAsia="Calibri"/>
        </w:rPr>
      </w:pPr>
      <w:r w:rsidRPr="000F70A3">
        <w:rPr>
          <w:rFonts w:eastAsia="Calibri"/>
        </w:rPr>
        <w:t>Summaries were generated for all available cases and provided on an intention to treat basis for the within trial analysis. E</w:t>
      </w:r>
      <w:r w:rsidRPr="000F70A3">
        <w:rPr>
          <w:rFonts w:eastAsia="Calibri"/>
          <w:color w:val="00B0F0"/>
        </w:rPr>
        <w:t>Q-5</w:t>
      </w:r>
      <w:r w:rsidRPr="000F70A3">
        <w:rPr>
          <w:rFonts w:eastAsia="Calibri"/>
        </w:rPr>
        <w:t>D-</w:t>
      </w:r>
      <w:r w:rsidRPr="000F70A3">
        <w:rPr>
          <w:rFonts w:eastAsia="Calibri"/>
          <w:color w:val="00B0F0"/>
        </w:rPr>
        <w:t>Y-3</w:t>
      </w:r>
      <w:r w:rsidRPr="000F70A3">
        <w:rPr>
          <w:rFonts w:eastAsia="Calibri"/>
        </w:rPr>
        <w:t xml:space="preserve">-level and CARIFS </w:t>
      </w:r>
      <w:r w:rsidRPr="000F70A3">
        <w:rPr>
          <w:rFonts w:eastAsia="Calibri"/>
          <w:highlight w:val="magenta"/>
        </w:rPr>
        <w:t>data</w:t>
      </w:r>
      <w:r w:rsidRPr="000F70A3">
        <w:rPr>
          <w:rFonts w:eastAsia="Calibri"/>
        </w:rPr>
        <w:t xml:space="preserve"> were summarised descriptively by </w:t>
      </w:r>
      <w:r w:rsidRPr="000F70A3">
        <w:rPr>
          <w:rFonts w:eastAsia="Calibri"/>
          <w:highlight w:val="magenta"/>
        </w:rPr>
        <w:t>data</w:t>
      </w:r>
      <w:r w:rsidRPr="000F70A3">
        <w:rPr>
          <w:rFonts w:eastAsia="Calibri"/>
        </w:rPr>
        <w:t xml:space="preserve"> collection time point. Differences between the trial arms at each time point were estimated using linear regression models, adjusted for the stratification factors age (used as continuous variable) and seasonal influenza vaccination status. Contacts with different health services were summarised using number and frequencies to indicate how often participants had used each service. Mean number of contacts with different health services were also calculated, and mean differences between the groups were generated as described above. Costs incurred for the different health service contacts were calculated by applying unit costs. The cost components and total costs of the trial were presented as mean costs by treatment arm; differences between the arms were calculated as described above.</w:t>
      </w:r>
    </w:p>
    <w:p w14:paraId="61F3E4B9" w14:textId="77777777" w:rsidR="000F70A3" w:rsidRPr="000F70A3" w:rsidRDefault="000F70A3" w:rsidP="001B04F2">
      <w:pPr>
        <w:pStyle w:val="602TextfoTextstylesTextstyles"/>
        <w:rPr>
          <w:rFonts w:eastAsia="Calibri"/>
        </w:rPr>
      </w:pPr>
      <w:r w:rsidRPr="000F70A3">
        <w:rPr>
          <w:rFonts w:eastAsia="Calibri"/>
        </w:rPr>
        <w:t xml:space="preserve">Subgroup effects were explored by adding an interaction term between treatment allocation and laboratory-confirmed influenza at baseline to the primary analysis model for the total costs incurred over the trial follow-up period, and also separately for the costs incurred through medication use, and the costs related to re-consultations, hospital admissions and referrals. Results from this investigation were presented as Forest plots. As this analysis is exploratory, no </w:t>
      </w:r>
      <w:r w:rsidRPr="000F70A3">
        <w:rPr>
          <w:rFonts w:eastAsia="Calibri"/>
          <w:i/>
          <w:color w:val="00B0F0"/>
        </w:rPr>
        <w:t>p</w:t>
      </w:r>
      <w:r w:rsidRPr="000F70A3">
        <w:rPr>
          <w:rFonts w:eastAsia="Calibri"/>
        </w:rPr>
        <w:t>-values were displayed. Sensitivity analysis examined the effect of including costs associated with hospitalisations unrelated to the illness episode for which the child was recruited to ARCHIE. The costs were extrapolated to estimate the impact of either intervention on a national scale.</w:t>
      </w:r>
    </w:p>
    <w:p w14:paraId="649A852A" w14:textId="77777777" w:rsidR="000F70A3" w:rsidRPr="000F70A3" w:rsidRDefault="000F70A3" w:rsidP="00EF19BD">
      <w:pPr>
        <w:pStyle w:val="53BheadHeadingsHeadingstyles"/>
      </w:pPr>
      <w:r w:rsidRPr="000F70A3">
        <w:t>Strengths and Limitations</w:t>
      </w:r>
    </w:p>
    <w:p w14:paraId="16F3950C" w14:textId="77777777" w:rsidR="000F70A3" w:rsidRPr="000F70A3" w:rsidRDefault="000F70A3" w:rsidP="00EF19BD">
      <w:pPr>
        <w:pStyle w:val="602TextfoTextstylesTextstyles"/>
      </w:pPr>
      <w:r w:rsidRPr="000F70A3">
        <w:t xml:space="preserve">A significant strength of the within trial analysis is the </w:t>
      </w:r>
      <w:r w:rsidRPr="000F70A3">
        <w:rPr>
          <w:highlight w:val="magenta"/>
        </w:rPr>
        <w:t>data</w:t>
      </w:r>
      <w:r w:rsidRPr="000F70A3">
        <w:t xml:space="preserve"> were collected on a national scale throughout England and from a mixture of primary and ambulatory care settings. The availability of medical note </w:t>
      </w:r>
      <w:r w:rsidRPr="000F70A3">
        <w:rPr>
          <w:highlight w:val="magenta"/>
        </w:rPr>
        <w:t>data</w:t>
      </w:r>
      <w:r w:rsidRPr="000F70A3">
        <w:t xml:space="preserve"> enabled medical resource use to be calculated even when diary information was not available. A limitation however is that full cost-effectiveness analysis could not be performed </w:t>
      </w:r>
      <w:r w:rsidRPr="000F70A3">
        <w:rPr>
          <w:highlight w:val="magenta"/>
        </w:rPr>
        <w:t>due to</w:t>
      </w:r>
      <w:r w:rsidRPr="000F70A3">
        <w:t xml:space="preserve"> the low availability of E</w:t>
      </w:r>
      <w:r w:rsidRPr="000F70A3">
        <w:rPr>
          <w:color w:val="00B0F0"/>
        </w:rPr>
        <w:t>Q-5</w:t>
      </w:r>
      <w:r w:rsidRPr="000F70A3">
        <w:t xml:space="preserve">D-Y </w:t>
      </w:r>
      <w:r w:rsidRPr="000F70A3">
        <w:rPr>
          <w:highlight w:val="magenta"/>
        </w:rPr>
        <w:t>data</w:t>
      </w:r>
      <w:r w:rsidRPr="000F70A3">
        <w:t xml:space="preserve"> with only 26.6% of diaries being available at day 28. This is a similar rate completion rate to other paediatric population studies</w:t>
      </w:r>
      <w:r w:rsidRPr="000F70A3">
        <w:rPr>
          <w:noProof/>
          <w:vertAlign w:val="superscript"/>
        </w:rPr>
        <w:t>42</w:t>
      </w:r>
      <w:r w:rsidRPr="000F70A3">
        <w:t>.</w:t>
      </w:r>
    </w:p>
    <w:p w14:paraId="19A99958" w14:textId="77777777" w:rsidR="000F70A3" w:rsidRPr="000F70A3" w:rsidRDefault="000F70A3" w:rsidP="00EF19BD">
      <w:pPr>
        <w:pStyle w:val="602TextfoTextstylesTextstyles"/>
        <w:rPr>
          <w:highlight w:val="green"/>
        </w:rPr>
      </w:pPr>
      <w:r w:rsidRPr="000F70A3">
        <w:t xml:space="preserve">A limitation of the pre-trial modelling is that </w:t>
      </w:r>
      <w:r w:rsidRPr="000F70A3">
        <w:rPr>
          <w:highlight w:val="magenta"/>
        </w:rPr>
        <w:t>data</w:t>
      </w:r>
      <w:r w:rsidRPr="000F70A3">
        <w:t xml:space="preserve"> from the literature review informing the model parameters was based on a general paediatric cohort, not those considered </w:t>
      </w:r>
      <w:r w:rsidRPr="000F70A3">
        <w:rPr>
          <w:color w:val="00B0F0"/>
        </w:rPr>
        <w:t>‘</w:t>
      </w:r>
      <w:r w:rsidRPr="000F70A3">
        <w:t>at risk</w:t>
      </w:r>
      <w:r w:rsidRPr="000F70A3">
        <w:rPr>
          <w:color w:val="00B0F0"/>
        </w:rPr>
        <w:t>’</w:t>
      </w:r>
      <w:r w:rsidRPr="000F70A3">
        <w:t xml:space="preserve"> and presenting with a different disease, acute otitis media, rather than ILI. However this indicates the necessity for the ARCHIE Trial itself in order to gather more specific </w:t>
      </w:r>
      <w:r w:rsidRPr="000F70A3">
        <w:rPr>
          <w:highlight w:val="magenta"/>
        </w:rPr>
        <w:t>data</w:t>
      </w:r>
      <w:r w:rsidRPr="000F70A3">
        <w:t xml:space="preserve"> on </w:t>
      </w:r>
      <w:r w:rsidRPr="000F70A3">
        <w:rPr>
          <w:color w:val="00B0F0"/>
          <w:highlight w:val="green"/>
        </w:rPr>
        <w:t>‘</w:t>
      </w:r>
      <w:r w:rsidRPr="000F70A3">
        <w:rPr>
          <w:highlight w:val="green"/>
        </w:rPr>
        <w:t xml:space="preserve">at risk </w:t>
      </w:r>
      <w:r w:rsidRPr="000F70A3">
        <w:rPr>
          <w:color w:val="00B0F0"/>
          <w:highlight w:val="green"/>
        </w:rPr>
        <w:t>‘</w:t>
      </w:r>
      <w:r w:rsidRPr="000F70A3">
        <w:rPr>
          <w:highlight w:val="green"/>
        </w:rPr>
        <w:t>children presenting with ILI.</w:t>
      </w:r>
    </w:p>
    <w:p w14:paraId="1A6C9059" w14:textId="77777777" w:rsidR="000F70A3" w:rsidRPr="000F70A3" w:rsidRDefault="000F70A3" w:rsidP="00EF19BD">
      <w:pPr>
        <w:pStyle w:val="53BheadHeadingsHeadingstyles"/>
        <w:rPr>
          <w:highlight w:val="green"/>
        </w:rPr>
      </w:pPr>
      <w:r w:rsidRPr="000F70A3">
        <w:rPr>
          <w:highlight w:val="green"/>
        </w:rPr>
        <w:t>Key Findings</w:t>
      </w:r>
    </w:p>
    <w:p w14:paraId="51EA75D5" w14:textId="49233B83" w:rsidR="000F70A3" w:rsidRPr="000F70A3" w:rsidRDefault="000F70A3" w:rsidP="00EF19BD">
      <w:pPr>
        <w:pStyle w:val="611BulletlistTextstyles"/>
        <w:rPr>
          <w:highlight w:val="green"/>
        </w:rPr>
      </w:pPr>
      <w:r w:rsidRPr="000F70A3">
        <w:rPr>
          <w:highlight w:val="green"/>
        </w:rPr>
        <w:t>The pre-trial cost-effectiveness decision model highlighted the need for a trial to be undertaken due to the paucity of evidence to inform the parameters in the model</w:t>
      </w:r>
    </w:p>
    <w:p w14:paraId="2AB73B81" w14:textId="069EF870" w:rsidR="000F70A3" w:rsidRPr="000F70A3" w:rsidRDefault="000F70A3" w:rsidP="00EF19BD">
      <w:pPr>
        <w:pStyle w:val="611BulletlistTextstyles"/>
      </w:pPr>
      <w:r w:rsidRPr="000F70A3">
        <w:rPr>
          <w:highlight w:val="green"/>
        </w:rPr>
        <w:t>Notwithstanding the effort to ascertain the preferred outcome measure to use in this patient group, proxy completion rates for the EQ-5D-3Y by day 28 were 27% of the sample. Parent proxies may have found some questions difficult to answer i.e. has mobility been affected due to the child</w:t>
      </w:r>
      <w:r w:rsidRPr="000F70A3">
        <w:rPr>
          <w:color w:val="00B0F0"/>
          <w:highlight w:val="green"/>
        </w:rPr>
        <w:t>’</w:t>
      </w:r>
      <w:r w:rsidRPr="000F70A3">
        <w:t>s very young age or pre-existing health condition.</w:t>
      </w:r>
    </w:p>
    <w:p w14:paraId="52729682" w14:textId="37ECB8C0" w:rsidR="000F70A3" w:rsidRPr="000F70A3" w:rsidRDefault="000F70A3" w:rsidP="00EF19BD">
      <w:pPr>
        <w:pStyle w:val="611BulletlistTextstyles"/>
        <w:rPr>
          <w:i/>
        </w:rPr>
      </w:pPr>
      <w:r w:rsidRPr="000F70A3">
        <w:t xml:space="preserve">When costs for re-consultations and hospital admissions related to index influenza-like illness episode are included, the mean total cost per patient was £94 (SD480) in the co-amoxiclav group, and £122 (SD539) in the placebo group (adjusted between group difference </w:t>
      </w:r>
      <w:r w:rsidRPr="000F70A3">
        <w:rPr>
          <w:color w:val="00B0F0"/>
        </w:rPr>
        <w:t>–2</w:t>
      </w:r>
      <w:r w:rsidRPr="000F70A3">
        <w:t xml:space="preserve">5 (95% CI </w:t>
      </w:r>
      <w:r w:rsidRPr="000F70A3">
        <w:rPr>
          <w:color w:val="00B0F0"/>
        </w:rPr>
        <w:t>–1</w:t>
      </w:r>
      <w:r w:rsidRPr="000F70A3">
        <w:t xml:space="preserve">13,62), </w:t>
      </w:r>
      <w:r w:rsidRPr="000F70A3">
        <w:rPr>
          <w:i/>
          <w:color w:val="00B0F0"/>
        </w:rPr>
        <w:t>p</w:t>
      </w:r>
      <w:r w:rsidRPr="000F70A3">
        <w:t>-value = 0.566). However, the difference between groups was not statistically significant.</w:t>
      </w:r>
    </w:p>
    <w:p w14:paraId="1104E07B" w14:textId="460E3C9D" w:rsidR="000F70A3" w:rsidRPr="000F70A3" w:rsidRDefault="000F70A3" w:rsidP="00EF19BD">
      <w:pPr>
        <w:pStyle w:val="611BulletlistTextstyles"/>
        <w:rPr>
          <w:i/>
        </w:rPr>
      </w:pPr>
      <w:r w:rsidRPr="000F70A3">
        <w:t>The majority of costs are incurred in a secondary care setting.</w:t>
      </w:r>
    </w:p>
    <w:p w14:paraId="03248DB4" w14:textId="52A827A2" w:rsidR="000F70A3" w:rsidRPr="000F70A3" w:rsidRDefault="000F70A3" w:rsidP="00EF19BD">
      <w:pPr>
        <w:pStyle w:val="611BulletlistTextstyles"/>
      </w:pPr>
      <w:r w:rsidRPr="000F70A3">
        <w:t>A statistically non-significant trend towards lower non-medication costs and total costs for participants randomised to co-amoxiclav vs. placebo was observed. However, larger studies would be needed to confirm this trend.</w:t>
      </w:r>
    </w:p>
    <w:p w14:paraId="2C5CDCA7" w14:textId="7D46153F" w:rsidR="000F70A3" w:rsidRPr="000F70A3" w:rsidRDefault="000F70A3" w:rsidP="00EF19BD">
      <w:pPr>
        <w:pStyle w:val="614TextbulletlistlastTextstylesTextstyles"/>
      </w:pPr>
      <w:r w:rsidRPr="000F70A3">
        <w:t>The laboratory-confirmed influenza subgroup analysis indicates that medication-related cost differences are very similar between the subgroups.</w:t>
      </w:r>
    </w:p>
    <w:p w14:paraId="0189B73C" w14:textId="77777777" w:rsidR="000F70A3" w:rsidRPr="000F70A3" w:rsidRDefault="000F70A3" w:rsidP="00EF19BD">
      <w:pPr>
        <w:pStyle w:val="53BheadHeadingsHeadingstyles"/>
      </w:pPr>
      <w:r w:rsidRPr="000F70A3">
        <w:t>Interrelationship with other parts of the Programme</w:t>
      </w:r>
    </w:p>
    <w:p w14:paraId="1B4724A2" w14:textId="77777777" w:rsidR="000F70A3" w:rsidRPr="000F70A3" w:rsidRDefault="000F70A3" w:rsidP="00EF19BD">
      <w:pPr>
        <w:pStyle w:val="602TextfoTextstylesTextstyles"/>
      </w:pPr>
      <w:r w:rsidRPr="000F70A3">
        <w:t>The pre-trial findings of work package e.ii directly contributed to the design of the trial in work package c by selecting the most appropriate patient outcome measure to be used. The findings also contribute, alongside the finding of work package d in assessing the risks and benefits of antibiotic prescription for work package c. This work package, specifically the pre-trial decision model additionally draws on the systematic review that was conducted in work package a.</w:t>
      </w:r>
    </w:p>
    <w:p w14:paraId="1355184C" w14:textId="77777777" w:rsidR="000F70A3" w:rsidRPr="000F70A3" w:rsidRDefault="000F70A3" w:rsidP="00EF19BD">
      <w:pPr>
        <w:pStyle w:val="52AheadHeadingsHeadingstyles"/>
        <w:rPr>
          <w:rFonts w:eastAsia="DengXian Light"/>
        </w:rPr>
      </w:pPr>
      <w:bookmarkStart w:id="29" w:name="_Toc61506838"/>
      <w:bookmarkStart w:id="30" w:name="_Toc106099132"/>
      <w:r w:rsidRPr="000F70A3">
        <w:rPr>
          <w:rFonts w:eastAsia="DengXian Light"/>
        </w:rPr>
        <w:t>Patient and Public</w:t>
      </w:r>
      <w:bookmarkEnd w:id="29"/>
      <w:r w:rsidRPr="000F70A3">
        <w:rPr>
          <w:rFonts w:eastAsia="DengXian Light"/>
        </w:rPr>
        <w:t xml:space="preserve"> Involvement</w:t>
      </w:r>
      <w:bookmarkEnd w:id="30"/>
    </w:p>
    <w:p w14:paraId="4291D87D" w14:textId="77777777" w:rsidR="000F70A3" w:rsidRPr="000F70A3" w:rsidRDefault="000F70A3" w:rsidP="00EF19BD">
      <w:pPr>
        <w:pStyle w:val="602TextfoTextstylesTextstyles"/>
      </w:pPr>
      <w:bookmarkStart w:id="31" w:name="_Toc61506839"/>
      <w:r w:rsidRPr="000F70A3">
        <w:t>Aim of PPI</w:t>
      </w:r>
    </w:p>
    <w:p w14:paraId="702B106E" w14:textId="77777777" w:rsidR="000F70A3" w:rsidRPr="000F70A3" w:rsidRDefault="000F70A3" w:rsidP="00EF19BD">
      <w:pPr>
        <w:pStyle w:val="602TextfoTextstylesTextstyles"/>
      </w:pPr>
      <w:r w:rsidRPr="000F70A3">
        <w:t>The aims of involving patients and public in the delivery of the ARCHIE programme were to:</w:t>
      </w:r>
    </w:p>
    <w:p w14:paraId="3F224C63" w14:textId="7D84D9AD" w:rsidR="000F70A3" w:rsidRPr="000F70A3" w:rsidRDefault="000F70A3" w:rsidP="00EF19BD">
      <w:pPr>
        <w:pStyle w:val="621TextnumberedlistTextstylesTextstyles"/>
      </w:pPr>
      <w:r w:rsidRPr="000F70A3">
        <w:t>Inform the design of patient-facing materials to be used during the trial. These included the parent &amp; child participant information leaflets (PILs), recruitments posters, mascot, study diaries and Quality of Life questionnaires.</w:t>
      </w:r>
    </w:p>
    <w:p w14:paraId="21D958B2" w14:textId="49F6923F" w:rsidR="000F70A3" w:rsidRPr="000F70A3" w:rsidRDefault="000F70A3" w:rsidP="00EF19BD">
      <w:pPr>
        <w:pStyle w:val="621TextnumberedlistTextstylesTextstyles"/>
      </w:pPr>
      <w:r w:rsidRPr="000F70A3">
        <w:t xml:space="preserve">Inform the design of study procedures which children and parents taking part in the trial would find feasible and acceptable. These included informing the consent process, and communication of potentially sensitive topics including views around placebo use and participation of </w:t>
      </w:r>
      <w:r w:rsidRPr="000F70A3">
        <w:rPr>
          <w:color w:val="00B0F0"/>
        </w:rPr>
        <w:t>‘</w:t>
      </w:r>
      <w:r w:rsidRPr="000F70A3">
        <w:t>at risk</w:t>
      </w:r>
      <w:r w:rsidRPr="000F70A3">
        <w:rPr>
          <w:color w:val="00B0F0"/>
        </w:rPr>
        <w:t>’</w:t>
      </w:r>
      <w:r w:rsidRPr="000F70A3">
        <w:t xml:space="preserve"> children.</w:t>
      </w:r>
    </w:p>
    <w:p w14:paraId="2A2C5944" w14:textId="59E32987" w:rsidR="000F70A3" w:rsidRPr="000F70A3" w:rsidRDefault="000F70A3" w:rsidP="00EF19BD">
      <w:pPr>
        <w:pStyle w:val="6211TextnumberedlistlastTextstylesTextstyles"/>
      </w:pPr>
      <w:r w:rsidRPr="000F70A3">
        <w:t>Support the writing of plain English summaries and identify topics and findings that families find relevant to their experience.</w:t>
      </w:r>
    </w:p>
    <w:p w14:paraId="02694CD0" w14:textId="77777777" w:rsidR="000F70A3" w:rsidRPr="000F70A3" w:rsidRDefault="000F70A3" w:rsidP="00EF19BD">
      <w:pPr>
        <w:pStyle w:val="602TextfoTextstylesTextstyles"/>
      </w:pPr>
      <w:r w:rsidRPr="000F70A3">
        <w:t>Methods</w:t>
      </w:r>
    </w:p>
    <w:p w14:paraId="1CB48980" w14:textId="77777777" w:rsidR="000F70A3" w:rsidRPr="000F70A3" w:rsidRDefault="000F70A3" w:rsidP="00EF19BD">
      <w:pPr>
        <w:pStyle w:val="602TextfoTextstylesTextstyles"/>
      </w:pPr>
      <w:r w:rsidRPr="000F70A3">
        <w:t>We used the following methods to incorporate PPI in our programme:</w:t>
      </w:r>
    </w:p>
    <w:p w14:paraId="550BC759" w14:textId="1677AF6F" w:rsidR="000F70A3" w:rsidRPr="000F70A3" w:rsidRDefault="000F70A3" w:rsidP="00EF19BD">
      <w:pPr>
        <w:pStyle w:val="621TextnumberedlistTextstylesTextstyles"/>
      </w:pPr>
      <w:r w:rsidRPr="000F70A3">
        <w:t>Five discussion groups: four with parents (one of them being a very small initial discussion group with parents from Oxford) and one with young people, in Spring 2013. In total, we held discussion groups with 21 parents and 15 young people in four different locations: Oxford, London, Liverpool and Birmingham.</w:t>
      </w:r>
    </w:p>
    <w:p w14:paraId="3FEB75A0" w14:textId="01113315" w:rsidR="000F70A3" w:rsidRPr="000F70A3" w:rsidRDefault="000F70A3" w:rsidP="00EF19BD">
      <w:pPr>
        <w:pStyle w:val="6211TextnumberedlistlastTextstylesTextstyles"/>
      </w:pPr>
      <w:r w:rsidRPr="000F70A3">
        <w:t>Inclusion of two PPI representatives in our Programme Steering Committee.</w:t>
      </w:r>
    </w:p>
    <w:p w14:paraId="470C623A" w14:textId="77777777" w:rsidR="000F70A3" w:rsidRPr="000F70A3" w:rsidRDefault="000F70A3" w:rsidP="00EF19BD">
      <w:pPr>
        <w:pStyle w:val="602TextfoTextstylesTextstyles"/>
      </w:pPr>
      <w:r w:rsidRPr="000F70A3">
        <w:t>Results of PPI input</w:t>
      </w:r>
    </w:p>
    <w:p w14:paraId="41212283" w14:textId="693FFDF5" w:rsidR="000F70A3" w:rsidRPr="000F70A3" w:rsidRDefault="00EF19BD" w:rsidP="000F70A3">
      <w:pPr>
        <w:pStyle w:val="81FigurelegendTableFigureBoxstyles"/>
      </w:pPr>
      <w:r w:rsidRPr="00EF19BD">
        <w:rPr>
          <w:b/>
        </w:rPr>
        <w:t>FIGURE 4</w:t>
      </w:r>
      <w:r w:rsidRPr="00EF19BD">
        <w:rPr>
          <w:b/>
        </w:rPr>
        <w:t> </w:t>
      </w:r>
      <w:r w:rsidR="000F70A3" w:rsidRPr="000F70A3">
        <w:t>Feedback Presentation from Young person</w:t>
      </w:r>
      <w:r w:rsidR="000F70A3" w:rsidRPr="000F70A3">
        <w:rPr>
          <w:color w:val="00B0F0"/>
        </w:rPr>
        <w:t>’</w:t>
      </w:r>
      <w:r w:rsidR="000F70A3" w:rsidRPr="000F70A3">
        <w:t>s Group including originally proposed monkey mascot</w:t>
      </w:r>
    </w:p>
    <w:p w14:paraId="2F35D475" w14:textId="77777777" w:rsidR="000F70A3" w:rsidRPr="000F70A3" w:rsidRDefault="000F70A3" w:rsidP="00EF19BD">
      <w:pPr>
        <w:pStyle w:val="54CheadHeadingsHeadingstyles"/>
      </w:pPr>
      <w:r w:rsidRPr="000F70A3">
        <w:t>Paperwork feedback</w:t>
      </w:r>
    </w:p>
    <w:p w14:paraId="3F245050" w14:textId="77777777" w:rsidR="000F70A3" w:rsidRPr="000F70A3" w:rsidRDefault="000F70A3" w:rsidP="00EF19BD">
      <w:pPr>
        <w:pStyle w:val="55DheadHeadingsHeadingstyles"/>
      </w:pPr>
      <w:r w:rsidRPr="000F70A3">
        <w:t>Mascot</w:t>
      </w:r>
    </w:p>
    <w:p w14:paraId="6F29F5A9" w14:textId="77777777" w:rsidR="000F70A3" w:rsidRPr="000F70A3" w:rsidRDefault="000F70A3" w:rsidP="00EF19BD">
      <w:pPr>
        <w:pStyle w:val="602TextfoTextstylesTextstyles"/>
      </w:pPr>
      <w:r w:rsidRPr="000F70A3">
        <w:t xml:space="preserve">The initial monkey mascot was quickly discarded. Although parents and young people felt a monkey was </w:t>
      </w:r>
      <w:r w:rsidRPr="000F70A3">
        <w:rPr>
          <w:color w:val="00B0F0"/>
          <w:highlight w:val="green"/>
        </w:rPr>
        <w:t>‘</w:t>
      </w:r>
      <w:r w:rsidRPr="000F70A3">
        <w:rPr>
          <w:highlight w:val="green"/>
        </w:rPr>
        <w:t>child friendly;</w:t>
      </w:r>
      <w:r w:rsidRPr="000F70A3">
        <w:rPr>
          <w:color w:val="00B0F0"/>
          <w:highlight w:val="green"/>
        </w:rPr>
        <w:t>’</w:t>
      </w:r>
      <w:r w:rsidRPr="000F70A3">
        <w:t xml:space="preserve"> they questioned its relevance to the study and a few parents and young people mentioned an association with animal studies. The penguin mascot was taken to three groups and the feedback was very positive; it was seen as </w:t>
      </w:r>
      <w:r w:rsidRPr="000F70A3">
        <w:rPr>
          <w:color w:val="00B0F0"/>
        </w:rPr>
        <w:t>“</w:t>
      </w:r>
      <w:r w:rsidRPr="000F70A3">
        <w:t>child-friendly</w:t>
      </w:r>
      <w:r w:rsidRPr="000F70A3">
        <w:rPr>
          <w:color w:val="00B0F0"/>
        </w:rPr>
        <w:t>”</w:t>
      </w:r>
      <w:r w:rsidRPr="000F70A3">
        <w:t xml:space="preserve">, </w:t>
      </w:r>
      <w:r w:rsidRPr="000F70A3">
        <w:rPr>
          <w:color w:val="00B0F0"/>
        </w:rPr>
        <w:t>“</w:t>
      </w:r>
      <w:r w:rsidRPr="000F70A3">
        <w:t>cute</w:t>
      </w:r>
      <w:r w:rsidRPr="000F70A3">
        <w:rPr>
          <w:color w:val="00B0F0"/>
        </w:rPr>
        <w:t>”</w:t>
      </w:r>
      <w:r w:rsidRPr="000F70A3">
        <w:t xml:space="preserve"> and relevant to the seasonal winter theme</w:t>
      </w:r>
      <w:r w:rsidRPr="000F70A3">
        <w:rPr>
          <w:highlight w:val="magenta"/>
        </w:rPr>
        <w:t>. Further</w:t>
      </w:r>
      <w:r w:rsidRPr="000F70A3">
        <w:t xml:space="preserve"> suggestions to the mascot to make it more </w:t>
      </w:r>
      <w:r w:rsidRPr="000F70A3">
        <w:rPr>
          <w:color w:val="00B0F0"/>
        </w:rPr>
        <w:t>“</w:t>
      </w:r>
      <w:r w:rsidRPr="000F70A3">
        <w:t>eye-catching</w:t>
      </w:r>
      <w:r w:rsidRPr="000F70A3">
        <w:rPr>
          <w:color w:val="00B0F0"/>
        </w:rPr>
        <w:t>”</w:t>
      </w:r>
      <w:r w:rsidRPr="000F70A3">
        <w:t xml:space="preserve"> included colour-coordinating the hat and scarf, making the colours brighter and making it more obvious within the ARCHIE logo that it represented the letter </w:t>
      </w:r>
      <w:r w:rsidRPr="000F70A3">
        <w:rPr>
          <w:color w:val="00B0F0"/>
        </w:rPr>
        <w:t>‘</w:t>
      </w:r>
      <w:r w:rsidRPr="000F70A3">
        <w:t>i</w:t>
      </w:r>
      <w:r w:rsidRPr="000F70A3">
        <w:rPr>
          <w:color w:val="00B0F0"/>
        </w:rPr>
        <w:t>’</w:t>
      </w:r>
      <w:r w:rsidRPr="000F70A3">
        <w:t>. Some preferred having the mascot out of the logo and placing it at the end for ease of reading. The Young Person group did not have the penguin logo to view but when asked they all stated that they preferred a penguin instead of a monkey logo.</w:t>
      </w:r>
    </w:p>
    <w:p w14:paraId="37C2441D" w14:textId="3059ABF3" w:rsidR="000F70A3" w:rsidRPr="000F70A3" w:rsidRDefault="00EF19BD" w:rsidP="000F70A3">
      <w:pPr>
        <w:pStyle w:val="81FigurelegendTableFigureBoxstyles"/>
      </w:pPr>
      <w:r w:rsidRPr="00EF19BD">
        <w:rPr>
          <w:b/>
        </w:rPr>
        <w:t>FIGURE 5</w:t>
      </w:r>
      <w:r w:rsidRPr="00EF19BD">
        <w:rPr>
          <w:b/>
        </w:rPr>
        <w:t> </w:t>
      </w:r>
      <w:r w:rsidR="000F70A3" w:rsidRPr="000F70A3">
        <w:t>Archie Finalised Mascot</w:t>
      </w:r>
    </w:p>
    <w:p w14:paraId="32BBDFC8" w14:textId="77777777" w:rsidR="000F70A3" w:rsidRPr="000F70A3" w:rsidRDefault="000F70A3" w:rsidP="00EF19BD">
      <w:pPr>
        <w:pStyle w:val="55DheadHeadingsHeadingstyles"/>
      </w:pPr>
      <w:r w:rsidRPr="000F70A3">
        <w:t>Recruitment poster</w:t>
      </w:r>
    </w:p>
    <w:p w14:paraId="6C84CDED" w14:textId="77777777" w:rsidR="000F70A3" w:rsidRPr="000F70A3" w:rsidRDefault="000F70A3" w:rsidP="00EF19BD">
      <w:pPr>
        <w:pStyle w:val="602TextfoTextstylesTextstyles"/>
      </w:pPr>
      <w:r w:rsidRPr="000F70A3">
        <w:t xml:space="preserve">Overall, parents found the amount of text to be acceptable but suggested that different sections of text should be separated more clearly. In general, parents wanted the poster to stand out more (they felt it was </w:t>
      </w:r>
      <w:r w:rsidRPr="000F70A3">
        <w:rPr>
          <w:color w:val="00B0F0"/>
        </w:rPr>
        <w:t>“</w:t>
      </w:r>
      <w:r w:rsidRPr="000F70A3">
        <w:t>dull</w:t>
      </w:r>
      <w:r w:rsidRPr="000F70A3">
        <w:rPr>
          <w:color w:val="00B0F0"/>
        </w:rPr>
        <w:t>”</w:t>
      </w:r>
      <w:r w:rsidRPr="000F70A3">
        <w:t>) through the use of more creative (perhaps hand-written like) font in the title, larger title font, use of colour, adding images (penguins), and coloured paper. Views on the font varied but parents recommended to consider people with dyslexia when adjusting the font and the colours. Red and green paper were thought to be appropriate colours for dyslexics. Both parents and young people disliked the font in the original ARCHIE logo. It was suggested the url was too long to remember and suggested a new url were secured, and also for the poster to include tear-off slips. Posters could be displayed in schools, nurseries, GPs, pharmacies, with health visitors, community halls, children</w:t>
      </w:r>
      <w:r w:rsidRPr="000F70A3">
        <w:rPr>
          <w:color w:val="00B0F0"/>
        </w:rPr>
        <w:t>’</w:t>
      </w:r>
      <w:r w:rsidRPr="000F70A3">
        <w:t>s centres, hospital outpatients</w:t>
      </w:r>
      <w:r w:rsidRPr="000F70A3">
        <w:rPr>
          <w:color w:val="00B0F0"/>
        </w:rPr>
        <w:t>’</w:t>
      </w:r>
      <w:r w:rsidRPr="000F70A3">
        <w:t xml:space="preserve"> noticeboards.</w:t>
      </w:r>
    </w:p>
    <w:p w14:paraId="3DDCE7DF" w14:textId="77777777" w:rsidR="000F70A3" w:rsidRPr="000F70A3" w:rsidRDefault="000F70A3" w:rsidP="00EF19BD">
      <w:pPr>
        <w:pStyle w:val="55DheadHeadingsHeadingstyles"/>
      </w:pPr>
      <w:r w:rsidRPr="000F70A3">
        <w:t>Patient Information Leaflet &amp; Video</w:t>
      </w:r>
    </w:p>
    <w:p w14:paraId="5EB829B4" w14:textId="77777777" w:rsidR="000F70A3" w:rsidRPr="000F70A3" w:rsidRDefault="000F70A3" w:rsidP="00EF19BD">
      <w:pPr>
        <w:pStyle w:val="602TextfoTextstylesTextstyles"/>
      </w:pPr>
      <w:r w:rsidRPr="000F70A3">
        <w:t xml:space="preserve">The PIL video narrated by Dr Wang (parts 1 &amp; 2) was taken to three parent groups and they all really liked it. They found it answered their questions, felt it was </w:t>
      </w:r>
      <w:r w:rsidRPr="000F70A3">
        <w:rPr>
          <w:color w:val="00B0F0"/>
        </w:rPr>
        <w:t>“</w:t>
      </w:r>
      <w:r w:rsidRPr="000F70A3">
        <w:t>reassuring</w:t>
      </w:r>
      <w:r w:rsidRPr="000F70A3">
        <w:rPr>
          <w:color w:val="00B0F0"/>
        </w:rPr>
        <w:t>”</w:t>
      </w:r>
      <w:r w:rsidRPr="000F70A3">
        <w:t xml:space="preserve"> and said they would find watching it helpful when making decision about consent. It was suggested that the video was made available at the GP surgery (or in advance on a CD or a web link) when making a decision about taking part (it was made available on trial website www.archiestudy.com). Most parents found the parent PIL too long and </w:t>
      </w:r>
      <w:r w:rsidRPr="000F70A3">
        <w:rPr>
          <w:color w:val="00B0F0"/>
        </w:rPr>
        <w:t>‘</w:t>
      </w:r>
      <w:r w:rsidRPr="000F70A3">
        <w:t>wordy</w:t>
      </w:r>
      <w:r w:rsidRPr="000F70A3">
        <w:rPr>
          <w:color w:val="00B0F0"/>
        </w:rPr>
        <w:t>’</w:t>
      </w:r>
      <w:r w:rsidRPr="000F70A3">
        <w:t xml:space="preserve"> but struggled to point out what could be omitted. They would prefer bullet points to long sentences. Suggestions for changes included, clearer definition of </w:t>
      </w:r>
      <w:r w:rsidRPr="000F70A3">
        <w:rPr>
          <w:color w:val="00B0F0"/>
        </w:rPr>
        <w:t>‘</w:t>
      </w:r>
      <w:r w:rsidRPr="000F70A3">
        <w:t>placebo</w:t>
      </w:r>
      <w:r w:rsidRPr="000F70A3">
        <w:rPr>
          <w:color w:val="00B0F0"/>
        </w:rPr>
        <w:t>’</w:t>
      </w:r>
      <w:r w:rsidRPr="000F70A3">
        <w:t xml:space="preserve">; more detail and in particular more reassurance around placebo, detail of the placebo &amp; co-amoxiclav ingredients (to reassure they sugar/gluten/E-number/colouring-free). Distinguish between Diabetes Type 1 &amp; 2, increase the time it takes to fill in study diary from 5 to 10 minutes), more advice and detail about what to do if child gets more unwell and what exact signs to look out for and on what timeframe. Clearer emphasis that the antibiotic is for treating potential secondary bacterial infection and not ILI, more information about possible risks of taking part (concerns around placebo arm with at-risk children who can become unwell rapidly and penicillin allergies). Mention co-amoxiclav earlier in the PIL, explain what happens if the child does not complete the course of the study medication. Acknowledge more the time commitment of taking part in the trial but within the context of explaining why it is critical all these </w:t>
      </w:r>
      <w:r w:rsidRPr="000F70A3">
        <w:rPr>
          <w:color w:val="00B0F0"/>
          <w:highlight w:val="magenta"/>
        </w:rPr>
        <w:t>data</w:t>
      </w:r>
      <w:r w:rsidRPr="000F70A3">
        <w:rPr>
          <w:color w:val="00B0F0"/>
        </w:rPr>
        <w:t xml:space="preserve"> are</w:t>
      </w:r>
      <w:r w:rsidRPr="000F70A3">
        <w:t xml:space="preserve"> collected, and why </w:t>
      </w:r>
      <w:r w:rsidRPr="000F70A3">
        <w:rPr>
          <w:highlight w:val="magenta"/>
        </w:rPr>
        <w:t>data</w:t>
      </w:r>
      <w:r w:rsidRPr="000F70A3">
        <w:t xml:space="preserve"> collected over a period of time when the child is already likely to have recovered and to outline the individual/broader benefits of taking part to facilitate continued participation.</w:t>
      </w:r>
    </w:p>
    <w:p w14:paraId="5A24DA78" w14:textId="77777777" w:rsidR="000F70A3" w:rsidRPr="000F70A3" w:rsidRDefault="000F70A3" w:rsidP="00EF19BD">
      <w:pPr>
        <w:pStyle w:val="602TextfoTextstylesTextstyles"/>
      </w:pPr>
      <w:r w:rsidRPr="000F70A3">
        <w:t>The Young Person group did not like the child PILs at all and parents also felt the child PILs were too complicated for children, especially when ill. They wanted to see major changes to both the child PILs. The leaflets were viewed as too long and overwhelming, plain and dull. Instead, they suggested a story board, a comic strip or at least illustrations with the penguin at different stages of the trial. They suggested the younger child version to be very heavily picture-based with only a few words and the older child version to have visuals but with a bit more text than the younger version. It was pointed out (by the group coordinator) that as children will not be consenting, there are much fewer demands that the PILs need to cover, and sections could be removed, e.g. the funding, complaints procedure, and focus more on getting across to the children what the study is about in a visual and text light way.</w:t>
      </w:r>
    </w:p>
    <w:p w14:paraId="52DE2601" w14:textId="77777777" w:rsidR="000F70A3" w:rsidRPr="000F70A3" w:rsidRDefault="000F70A3" w:rsidP="00EF19BD">
      <w:pPr>
        <w:pStyle w:val="602TextfoTextstylesTextstyles"/>
      </w:pPr>
      <w:r w:rsidRPr="000F70A3">
        <w:t xml:space="preserve">Suggestions for improvements included shorter sentences, bullet points or speech bubbles (rather than prose), larger font, less text, more pictures, more colour, subheadings in different colour. Remove the current images (the younger child PIL logo seen as </w:t>
      </w:r>
      <w:r w:rsidRPr="000F70A3">
        <w:rPr>
          <w:color w:val="00B0F0"/>
        </w:rPr>
        <w:t>“</w:t>
      </w:r>
      <w:r w:rsidRPr="000F70A3">
        <w:t>scary</w:t>
      </w:r>
      <w:r w:rsidRPr="000F70A3">
        <w:rPr>
          <w:color w:val="00B0F0"/>
        </w:rPr>
        <w:t>”</w:t>
      </w:r>
      <w:r w:rsidRPr="000F70A3">
        <w:t xml:space="preserve">) and replace with Archie-penguin illustrations (e.g. penguin taking liquid antibiotic, penguin having swab, penguin sneezing, </w:t>
      </w:r>
      <w:r w:rsidRPr="000F70A3">
        <w:rPr>
          <w:color w:val="00B0F0"/>
          <w:highlight w:val="green"/>
        </w:rPr>
        <w:t>‘</w:t>
      </w:r>
      <w:r w:rsidRPr="000F70A3">
        <w:rPr>
          <w:highlight w:val="green"/>
        </w:rPr>
        <w:t>a nerdy penguin</w:t>
      </w:r>
      <w:r w:rsidRPr="000F70A3">
        <w:rPr>
          <w:color w:val="00B0F0"/>
          <w:highlight w:val="green"/>
        </w:rPr>
        <w:t>’</w:t>
      </w:r>
      <w:r w:rsidRPr="000F70A3">
        <w:t xml:space="preserve"> with glasses for </w:t>
      </w:r>
      <w:r w:rsidRPr="000F70A3">
        <w:rPr>
          <w:color w:val="00B0F0"/>
          <w:highlight w:val="green"/>
        </w:rPr>
        <w:t>‘</w:t>
      </w:r>
      <w:r w:rsidRPr="000F70A3">
        <w:rPr>
          <w:highlight w:val="green"/>
        </w:rPr>
        <w:t>why are we doing this?</w:t>
      </w:r>
      <w:r w:rsidRPr="000F70A3">
        <w:rPr>
          <w:color w:val="00B0F0"/>
          <w:highlight w:val="green"/>
        </w:rPr>
        <w:t>’</w:t>
      </w:r>
      <w:r w:rsidRPr="000F70A3">
        <w:t xml:space="preserve"> Penguin having its temperature taken, penguin thinking back to having the flu jab, penguin tucked up in bed), cut down on technical words (antibiotics and placebo needs explaining) and some words seen as </w:t>
      </w:r>
      <w:r w:rsidRPr="000F70A3">
        <w:rPr>
          <w:color w:val="00B0F0"/>
        </w:rPr>
        <w:t>“</w:t>
      </w:r>
      <w:r w:rsidRPr="000F70A3">
        <w:t>babyish</w:t>
      </w:r>
      <w:r w:rsidRPr="000F70A3">
        <w:rPr>
          <w:color w:val="00B0F0"/>
        </w:rPr>
        <w:t>”</w:t>
      </w:r>
      <w:r w:rsidRPr="000F70A3">
        <w:t xml:space="preserve">, not to specify exact ages of the children on leaflet but instead label them as </w:t>
      </w:r>
      <w:r w:rsidRPr="000F70A3">
        <w:rPr>
          <w:color w:val="00B0F0"/>
        </w:rPr>
        <w:t>‘</w:t>
      </w:r>
      <w:r w:rsidRPr="000F70A3">
        <w:t>older</w:t>
      </w:r>
      <w:r w:rsidRPr="000F70A3">
        <w:rPr>
          <w:color w:val="00B0F0"/>
        </w:rPr>
        <w:t>’</w:t>
      </w:r>
      <w:r w:rsidRPr="000F70A3">
        <w:t xml:space="preserve"> or </w:t>
      </w:r>
      <w:r w:rsidRPr="000F70A3">
        <w:rPr>
          <w:color w:val="00B0F0"/>
        </w:rPr>
        <w:t>‘</w:t>
      </w:r>
      <w:r w:rsidRPr="000F70A3">
        <w:t>younger</w:t>
      </w:r>
      <w:r w:rsidRPr="000F70A3">
        <w:rPr>
          <w:color w:val="00B0F0"/>
        </w:rPr>
        <w:t>’</w:t>
      </w:r>
      <w:r w:rsidRPr="000F70A3">
        <w:t xml:space="preserve"> children.</w:t>
      </w:r>
    </w:p>
    <w:p w14:paraId="2F64CA3C" w14:textId="77777777" w:rsidR="000F70A3" w:rsidRPr="000F70A3" w:rsidRDefault="000F70A3" w:rsidP="00EF19BD">
      <w:pPr>
        <w:pStyle w:val="602TextfoTextstylesTextstyles"/>
      </w:pPr>
      <w:r w:rsidRPr="000F70A3">
        <w:t xml:space="preserve">Overall, the content was viewed as reassuring (some of the language reassuring like </w:t>
      </w:r>
      <w:r w:rsidRPr="000F70A3">
        <w:rPr>
          <w:color w:val="00B0F0"/>
        </w:rPr>
        <w:t>‘</w:t>
      </w:r>
      <w:r w:rsidRPr="000F70A3">
        <w:t>tickle</w:t>
      </w:r>
      <w:r w:rsidRPr="000F70A3">
        <w:rPr>
          <w:color w:val="00B0F0"/>
        </w:rPr>
        <w:t>’</w:t>
      </w:r>
      <w:r w:rsidRPr="000F70A3">
        <w:t xml:space="preserve"> and </w:t>
      </w:r>
      <w:r w:rsidRPr="000F70A3">
        <w:rPr>
          <w:color w:val="00B0F0"/>
          <w:highlight w:val="green"/>
        </w:rPr>
        <w:t>‘</w:t>
      </w:r>
      <w:r w:rsidRPr="000F70A3">
        <w:rPr>
          <w:highlight w:val="green"/>
        </w:rPr>
        <w:t>easy to swallow</w:t>
      </w:r>
      <w:r w:rsidRPr="000F70A3">
        <w:rPr>
          <w:color w:val="00B0F0"/>
          <w:highlight w:val="green"/>
        </w:rPr>
        <w:t>’</w:t>
      </w:r>
      <w:r w:rsidRPr="000F70A3">
        <w:t>). More reassurance needed that regardless of whether the child gets antibiotic or placebo they will still be okay and safe and if they become more unwell they will be closely monitored and receive good medical care.</w:t>
      </w:r>
    </w:p>
    <w:p w14:paraId="48AF196B" w14:textId="77777777" w:rsidR="000F70A3" w:rsidRPr="000F70A3" w:rsidRDefault="000F70A3" w:rsidP="00EF19BD">
      <w:pPr>
        <w:pStyle w:val="602TextfoTextstylesTextstyles"/>
      </w:pPr>
      <w:r w:rsidRPr="000F70A3">
        <w:t>Parents suggested that children &amp; young people should also have a video PIL specific to them and Where</w:t>
      </w:r>
      <w:r w:rsidRPr="000F70A3">
        <w:rPr>
          <w:color w:val="00B0F0"/>
        </w:rPr>
        <w:t>’</w:t>
      </w:r>
      <w:r w:rsidRPr="000F70A3">
        <w:t>s Wally (Where</w:t>
      </w:r>
      <w:r w:rsidRPr="000F70A3">
        <w:rPr>
          <w:color w:val="00B0F0"/>
        </w:rPr>
        <w:t>’</w:t>
      </w:r>
      <w:r w:rsidRPr="000F70A3">
        <w:t>s Archie) type find-him game incorporated into the PIL.</w:t>
      </w:r>
    </w:p>
    <w:p w14:paraId="006EEB80" w14:textId="77777777" w:rsidR="000F70A3" w:rsidRPr="000F70A3" w:rsidRDefault="000F70A3" w:rsidP="00EF19BD">
      <w:pPr>
        <w:pStyle w:val="55DheadHeadingsHeadingstyles"/>
      </w:pPr>
      <w:r w:rsidRPr="000F70A3">
        <w:t>Study Diary</w:t>
      </w:r>
    </w:p>
    <w:p w14:paraId="3A4D47DF" w14:textId="77777777" w:rsidR="000F70A3" w:rsidRPr="000F70A3" w:rsidRDefault="000F70A3" w:rsidP="00EF19BD">
      <w:pPr>
        <w:pStyle w:val="602TextfoTextstylesTextstyles"/>
      </w:pPr>
      <w:r w:rsidRPr="000F70A3">
        <w:t xml:space="preserve">Overall, parents found filling in the paperwork one of the most challenging aspects of the trial, especially as they would be expected to fill it in past the point their child recovered. Again, parents suggested that a clearer explanation as to why </w:t>
      </w:r>
      <w:r w:rsidRPr="000F70A3">
        <w:rPr>
          <w:color w:val="00B0F0"/>
        </w:rPr>
        <w:t xml:space="preserve">these </w:t>
      </w:r>
      <w:r w:rsidRPr="000F70A3">
        <w:rPr>
          <w:color w:val="00B0F0"/>
          <w:highlight w:val="magenta"/>
        </w:rPr>
        <w:t>data</w:t>
      </w:r>
      <w:r w:rsidRPr="000F70A3">
        <w:t xml:space="preserve"> gathering was critical would be hugely helpful and motivating to encourage parents to continue participating for the full 28-days. Parents suggested the e-diary always be given to parents, most focus group participants would have personally preferred this, benefits including: easier to complete, can submit after every week, sense of completion, cannot get stained/ripped/lost, do not have to worry about posting, general preference of electronic forms over hard copies. If possible, would prefer it to be smart phone-friendly.</w:t>
      </w:r>
    </w:p>
    <w:p w14:paraId="41CAFC98" w14:textId="77777777" w:rsidR="000F70A3" w:rsidRPr="000F70A3" w:rsidRDefault="000F70A3" w:rsidP="00EF19BD">
      <w:pPr>
        <w:pStyle w:val="55DheadHeadingsHeadingstyles"/>
      </w:pPr>
      <w:r w:rsidRPr="000F70A3">
        <w:t>Layout</w:t>
      </w:r>
    </w:p>
    <w:p w14:paraId="23493C92" w14:textId="77777777" w:rsidR="000F70A3" w:rsidRPr="000F70A3" w:rsidRDefault="000F70A3" w:rsidP="00EF19BD">
      <w:pPr>
        <w:pStyle w:val="602TextfoTextstylesTextstyles"/>
      </w:pPr>
      <w:r w:rsidRPr="000F70A3">
        <w:t xml:space="preserve">It became clear early on that the initial 28-day-diary was seen as confusing and cumbersome. We took the weekly diaries vs. day-diaries to three parent focus groups and they all, without exception, preferred the daily-layout of the diary. Benefits included: easier to fill in, more likely to fill in, straightforward, streamlined, no flicking back &amp; </w:t>
      </w:r>
      <w:r w:rsidRPr="000F70A3">
        <w:rPr>
          <w:highlight w:val="magenta"/>
        </w:rPr>
        <w:t>forth</w:t>
      </w:r>
      <w:r w:rsidRPr="000F70A3">
        <w:t>, made as easy as possible when looking after an ill child.</w:t>
      </w:r>
    </w:p>
    <w:p w14:paraId="4BA56F5A" w14:textId="77777777" w:rsidR="000F70A3" w:rsidRPr="000F70A3" w:rsidRDefault="000F70A3" w:rsidP="00EF19BD">
      <w:pPr>
        <w:pStyle w:val="55DheadHeadingsHeadingstyles"/>
      </w:pPr>
      <w:r w:rsidRPr="000F70A3">
        <w:t>Recording symptoms</w:t>
      </w:r>
    </w:p>
    <w:p w14:paraId="24ADA005" w14:textId="77777777" w:rsidR="000F70A3" w:rsidRPr="000F70A3" w:rsidRDefault="000F70A3" w:rsidP="00EF19BD">
      <w:pPr>
        <w:pStyle w:val="602TextfoTextstylesTextstyles"/>
      </w:pPr>
      <w:r w:rsidRPr="000F70A3">
        <w:t xml:space="preserve">The symptoms list was viewed as relevant. Some preferred to have the time of day/interval between the doses of study medication rather than </w:t>
      </w:r>
      <w:r w:rsidRPr="000F70A3">
        <w:rPr>
          <w:color w:val="00B0F0"/>
        </w:rPr>
        <w:t>‘</w:t>
      </w:r>
      <w:r w:rsidRPr="000F70A3">
        <w:t>morning</w:t>
      </w:r>
      <w:r w:rsidRPr="000F70A3">
        <w:rPr>
          <w:color w:val="00B0F0"/>
        </w:rPr>
        <w:t>’</w:t>
      </w:r>
      <w:r w:rsidRPr="000F70A3">
        <w:t xml:space="preserve"> and </w:t>
      </w:r>
      <w:r w:rsidRPr="000F70A3">
        <w:rPr>
          <w:color w:val="00B0F0"/>
        </w:rPr>
        <w:t>‘</w:t>
      </w:r>
      <w:r w:rsidRPr="000F70A3">
        <w:t>evening</w:t>
      </w:r>
      <w:r w:rsidRPr="000F70A3">
        <w:rPr>
          <w:color w:val="00B0F0"/>
        </w:rPr>
        <w:t>’</w:t>
      </w:r>
      <w:r w:rsidRPr="000F70A3">
        <w:t>. Some found the first page too dense and preferred more spacing in the layout. Most parents had concerns about using an under-arm thermometer because: unreliable, inaccurate, difficult to measure when the child is ill and preferred an ear thermometer because quick, familiar to both parent and child, know how to use, more accurate. Parents unsure of using an infra-red thermometer as unfamiliar. All were happy to return any thermometer they were given after the study period</w:t>
      </w:r>
    </w:p>
    <w:p w14:paraId="33E0AEDE" w14:textId="77777777" w:rsidR="000F70A3" w:rsidRPr="000F70A3" w:rsidRDefault="000F70A3" w:rsidP="00EF19BD">
      <w:pPr>
        <w:pStyle w:val="55DheadHeadingsHeadingstyles"/>
      </w:pPr>
      <w:r w:rsidRPr="000F70A3">
        <w:rPr>
          <w:color w:val="00B0F0"/>
        </w:rPr>
        <w:t>‘</w:t>
      </w:r>
      <w:r w:rsidRPr="000F70A3">
        <w:t>Other medication</w:t>
      </w:r>
      <w:r w:rsidRPr="000F70A3">
        <w:rPr>
          <w:color w:val="00B0F0"/>
        </w:rPr>
        <w:t>’</w:t>
      </w:r>
    </w:p>
    <w:p w14:paraId="4DA14653" w14:textId="77777777" w:rsidR="000F70A3" w:rsidRPr="000F70A3" w:rsidRDefault="000F70A3" w:rsidP="00EF19BD">
      <w:pPr>
        <w:pStyle w:val="602TextfoTextstylesTextstyles"/>
      </w:pPr>
      <w:r w:rsidRPr="000F70A3">
        <w:t>This section needs an extra column for dosage and more rows for medications, ideally 6</w:t>
      </w:r>
      <w:r w:rsidRPr="000F70A3">
        <w:rPr>
          <w:color w:val="00B0F0"/>
        </w:rPr>
        <w:t>–8</w:t>
      </w:r>
      <w:r w:rsidRPr="000F70A3">
        <w:t>. It was also suggested that there could be a section for standard medications that their child may take regularly somewhere at the beginning of the document.</w:t>
      </w:r>
    </w:p>
    <w:p w14:paraId="3F13C986" w14:textId="77777777" w:rsidR="000F70A3" w:rsidRPr="000F70A3" w:rsidRDefault="000F70A3" w:rsidP="00EF19BD">
      <w:pPr>
        <w:pStyle w:val="54CheadHeadingsHeadingstyles"/>
      </w:pPr>
      <w:r w:rsidRPr="000F70A3">
        <w:t>Quality of Life questionnaire</w:t>
      </w:r>
    </w:p>
    <w:p w14:paraId="7526FEAE" w14:textId="77777777" w:rsidR="000F70A3" w:rsidRPr="000F70A3" w:rsidRDefault="000F70A3" w:rsidP="00EF19BD">
      <w:pPr>
        <w:pStyle w:val="55DheadHeadingsHeadingstyles"/>
      </w:pPr>
      <w:r w:rsidRPr="000F70A3">
        <w:t>Parents</w:t>
      </w:r>
    </w:p>
    <w:p w14:paraId="740553B7" w14:textId="77777777" w:rsidR="000F70A3" w:rsidRPr="000F70A3" w:rsidRDefault="000F70A3" w:rsidP="00EF19BD">
      <w:pPr>
        <w:pStyle w:val="602TextfoTextstylesTextstyles"/>
      </w:pPr>
      <w:r w:rsidRPr="000F70A3">
        <w:t>Of the 21 parents, 14 preferred the E</w:t>
      </w:r>
      <w:r w:rsidRPr="000F70A3">
        <w:rPr>
          <w:color w:val="00B0F0"/>
        </w:rPr>
        <w:t>Q-5</w:t>
      </w:r>
      <w:r w:rsidRPr="000F70A3">
        <w:t>D-Y and 7 preferred the CHU9D. Benefits to E</w:t>
      </w:r>
      <w:r w:rsidRPr="000F70A3">
        <w:rPr>
          <w:color w:val="00B0F0"/>
        </w:rPr>
        <w:t>Q-5</w:t>
      </w:r>
      <w:r w:rsidRPr="000F70A3">
        <w:t>D-Y included: better layout, clearer, easier to assess child and fill in, better font, fewer questions, user-friendly, more applicable, more relevant, concise, more age-appropriate, more translatable across ages and symptoms. Most liked the scale, some found it hard to quantify their child</w:t>
      </w:r>
      <w:r w:rsidRPr="000F70A3">
        <w:rPr>
          <w:color w:val="00B0F0"/>
        </w:rPr>
        <w:t>’</w:t>
      </w:r>
      <w:r w:rsidRPr="000F70A3">
        <w:t xml:space="preserve">s wellbeing on the scale. Benefits to CHU9D included: more questions leading to more </w:t>
      </w:r>
      <w:r w:rsidRPr="000F70A3">
        <w:rPr>
          <w:highlight w:val="magenta"/>
        </w:rPr>
        <w:t>data</w:t>
      </w:r>
      <w:r w:rsidRPr="000F70A3">
        <w:t>, more flexibility with options with which to respond, preferable for older children as has more texture &amp; detail to it, more relevant. Drawbacks included too many options making it hard to differentiate between them, too emotion focused, irrelevant content, scoring emotions impossible for a baby or a toddler. The frequency of filling in on days 1, 4, 7, 14 and 28 was considered feasible and realistic. However, it needed to be clearer why they would need to keep filling in the questionnaire even after child has recovered.</w:t>
      </w:r>
    </w:p>
    <w:p w14:paraId="0B699316" w14:textId="77777777" w:rsidR="000F70A3" w:rsidRPr="000F70A3" w:rsidRDefault="000F70A3" w:rsidP="00EF19BD">
      <w:pPr>
        <w:pStyle w:val="602TextfoTextstylesTextstyles"/>
      </w:pPr>
      <w:r w:rsidRPr="000F70A3">
        <w:t>Parents pointed out that it ought to be clearer in the instructions that the questions relate to the impact of the ILI on their child, not their overall wellbeing/state of mind. Parents felt children, especially when ill, would need support filling in either questionnaire.</w:t>
      </w:r>
    </w:p>
    <w:p w14:paraId="6C3C735A" w14:textId="77777777" w:rsidR="000F70A3" w:rsidRPr="000F70A3" w:rsidRDefault="000F70A3" w:rsidP="00EF19BD">
      <w:pPr>
        <w:pStyle w:val="602TextfoTextstylesTextstyles"/>
      </w:pPr>
      <w:r w:rsidRPr="000F70A3">
        <w:t>Most parents found both the questionnaires age-inappropriate for younger children (perhaps under 3 or 5 years of age) and parents also picked up that the questions were not sensitive to their child</w:t>
      </w:r>
      <w:r w:rsidRPr="000F70A3">
        <w:rPr>
          <w:color w:val="00B0F0"/>
        </w:rPr>
        <w:t>’</w:t>
      </w:r>
      <w:r w:rsidRPr="000F70A3">
        <w:t xml:space="preserve">s underlying </w:t>
      </w:r>
      <w:r w:rsidRPr="000F70A3">
        <w:rPr>
          <w:color w:val="00B0F0"/>
        </w:rPr>
        <w:t>‘</w:t>
      </w:r>
      <w:r w:rsidRPr="000F70A3">
        <w:t>at risk</w:t>
      </w:r>
      <w:r w:rsidRPr="000F70A3">
        <w:rPr>
          <w:color w:val="00B0F0"/>
        </w:rPr>
        <w:t>’</w:t>
      </w:r>
      <w:r w:rsidRPr="000F70A3">
        <w:t xml:space="preserve"> problem. In some cases (e.g. disabled children unable to speak or walk) the questionnaire would pick up the underlying condition not any deterioration in their wellbeing </w:t>
      </w:r>
      <w:r w:rsidRPr="000F70A3">
        <w:rPr>
          <w:highlight w:val="magenta"/>
        </w:rPr>
        <w:t>due to</w:t>
      </w:r>
      <w:r w:rsidRPr="000F70A3">
        <w:t xml:space="preserve"> the ILI.</w:t>
      </w:r>
    </w:p>
    <w:p w14:paraId="66224505" w14:textId="77777777" w:rsidR="000F70A3" w:rsidRPr="000F70A3" w:rsidRDefault="000F70A3" w:rsidP="00EF19BD">
      <w:pPr>
        <w:pStyle w:val="55DheadHeadingsHeadingstyles"/>
      </w:pPr>
      <w:r w:rsidRPr="000F70A3">
        <w:t>Young people</w:t>
      </w:r>
    </w:p>
    <w:p w14:paraId="4BBEBE70" w14:textId="77777777" w:rsidR="000F70A3" w:rsidRPr="000F70A3" w:rsidRDefault="000F70A3" w:rsidP="00EF19BD">
      <w:pPr>
        <w:pStyle w:val="602TextfoTextstylesTextstyles"/>
      </w:pPr>
      <w:r w:rsidRPr="000F70A3">
        <w:t>Of the 15 young people, 9 preferred the E</w:t>
      </w:r>
      <w:r w:rsidRPr="000F70A3">
        <w:rPr>
          <w:color w:val="00B0F0"/>
        </w:rPr>
        <w:t>Q-5</w:t>
      </w:r>
      <w:r w:rsidRPr="000F70A3">
        <w:t>D-Y and 6 preferred the CHU9D. Those who preferred CHU9D said they would be able to fill in the E</w:t>
      </w:r>
      <w:r w:rsidRPr="000F70A3">
        <w:rPr>
          <w:color w:val="00B0F0"/>
        </w:rPr>
        <w:t>Q-5</w:t>
      </w:r>
      <w:r w:rsidRPr="000F70A3">
        <w:t>D-Y too. All the younger people preferred the E</w:t>
      </w:r>
      <w:r w:rsidRPr="000F70A3">
        <w:rPr>
          <w:color w:val="00B0F0"/>
        </w:rPr>
        <w:t>Q-5</w:t>
      </w:r>
      <w:r w:rsidRPr="000F70A3">
        <w:t>D-Y. Benefits to E</w:t>
      </w:r>
      <w:r w:rsidRPr="000F70A3">
        <w:rPr>
          <w:color w:val="00B0F0"/>
        </w:rPr>
        <w:t>Q-5</w:t>
      </w:r>
      <w:r w:rsidRPr="000F70A3">
        <w:t>D-Y included: easier to complete on your own, easier questions, focuses on practical and tangible experiences, clearer as less options and the options more straightforward, quicker to fill than CHU9D, need to think less especially when ill, some liked the scale some found it difficult to grasp</w:t>
      </w:r>
    </w:p>
    <w:p w14:paraId="6F9C9E8F" w14:textId="77777777" w:rsidR="000F70A3" w:rsidRPr="000F70A3" w:rsidRDefault="000F70A3" w:rsidP="00EF19BD">
      <w:pPr>
        <w:pStyle w:val="602TextfoTextstylesTextstyles"/>
      </w:pPr>
      <w:r w:rsidRPr="000F70A3">
        <w:t xml:space="preserve">Benefits to CHU9D included more options, allows you to pinpoint how you are feeling more easily (this feedback was from the older YP), reminds you that it is asking you how you feel </w:t>
      </w:r>
      <w:r w:rsidRPr="000F70A3">
        <w:rPr>
          <w:color w:val="00B0F0"/>
        </w:rPr>
        <w:t>‘</w:t>
      </w:r>
      <w:r w:rsidRPr="000F70A3">
        <w:t>today</w:t>
      </w:r>
      <w:r w:rsidRPr="000F70A3">
        <w:rPr>
          <w:color w:val="00B0F0"/>
        </w:rPr>
        <w:t>’</w:t>
      </w:r>
      <w:r w:rsidRPr="000F70A3">
        <w:t>, not generally. Drawbacks for the younger YP: harder to understand than E</w:t>
      </w:r>
      <w:r w:rsidRPr="000F70A3">
        <w:rPr>
          <w:color w:val="00B0F0"/>
        </w:rPr>
        <w:t>Q-5</w:t>
      </w:r>
      <w:r w:rsidRPr="000F70A3">
        <w:t>D-Y, felt this needs to be completed with a parent.</w:t>
      </w:r>
    </w:p>
    <w:p w14:paraId="667BC5EA" w14:textId="77777777" w:rsidR="000F70A3" w:rsidRPr="000F70A3" w:rsidRDefault="000F70A3" w:rsidP="00EF19BD">
      <w:pPr>
        <w:pStyle w:val="602TextfoTextstylesTextstyles"/>
      </w:pPr>
      <w:r w:rsidRPr="000F70A3">
        <w:t>No strong preference whether to complete the questionnaire themselves or for their parents to do it, except they felt that their parent could not know how to answer certain questions, such as pain and moods etc. Parents could have a note taking/supportive capacity in filling it in. All thought it is good to be given the option to fill it in.</w:t>
      </w:r>
    </w:p>
    <w:p w14:paraId="3564867D" w14:textId="77777777" w:rsidR="000F70A3" w:rsidRPr="000F70A3" w:rsidRDefault="000F70A3" w:rsidP="00DA3216">
      <w:pPr>
        <w:pStyle w:val="54CheadHeadingsHeadingstyles"/>
      </w:pPr>
      <w:r w:rsidRPr="000F70A3">
        <w:t>CARIFS</w:t>
      </w:r>
    </w:p>
    <w:p w14:paraId="6C883323" w14:textId="77777777" w:rsidR="000F70A3" w:rsidRPr="000F70A3" w:rsidRDefault="000F70A3" w:rsidP="00DA3216">
      <w:pPr>
        <w:pStyle w:val="602TextfoTextstylesTextstyles"/>
      </w:pPr>
      <w:r w:rsidRPr="000F70A3">
        <w:t>The parents felt this was very relevant and appropriate for assessing their child</w:t>
      </w:r>
      <w:r w:rsidRPr="000F70A3">
        <w:rPr>
          <w:color w:val="00B0F0"/>
        </w:rPr>
        <w:t>’</w:t>
      </w:r>
      <w:r w:rsidRPr="000F70A3">
        <w:t>s wellbeing when ill with ILI. Filling it in on day 7 (and day 1 with research nurse) was considered appropriate and feasible.</w:t>
      </w:r>
    </w:p>
    <w:p w14:paraId="401EBBBA" w14:textId="77777777" w:rsidR="000F70A3" w:rsidRPr="000F70A3" w:rsidRDefault="000F70A3" w:rsidP="00DA3216">
      <w:pPr>
        <w:pStyle w:val="54CheadHeadingsHeadingstyles"/>
      </w:pPr>
      <w:r w:rsidRPr="000F70A3">
        <w:t>Health service contacts</w:t>
      </w:r>
    </w:p>
    <w:p w14:paraId="7614ABB4" w14:textId="77777777" w:rsidR="000F70A3" w:rsidRPr="000F70A3" w:rsidRDefault="000F70A3" w:rsidP="00DA3216">
      <w:pPr>
        <w:pStyle w:val="602TextfoTextstylesTextstyles"/>
      </w:pPr>
      <w:r w:rsidRPr="000F70A3">
        <w:t>Parents felt this would be easier to fill in and keep track when at the end of each weekly diary. The early groups did not like the tick-box circles and this was quickly discarded in favour of the current format suggest by one of the parents.</w:t>
      </w:r>
      <w:r w:rsidRPr="000F70A3">
        <w:rPr>
          <w:color w:val="00B0F0"/>
        </w:rPr>
        <w:t>.</w:t>
      </w:r>
      <w:r w:rsidRPr="000F70A3">
        <w:t xml:space="preserve"> Parents felt sensitivity was needed around working options for parents employed part time, in shifts, from home or self-employed, as these would be harder to catch in the current health service contact form. Part time workers might get around losing a working day by changing their working day for that week or changing their shifts temporarily to look after the child.</w:t>
      </w:r>
    </w:p>
    <w:p w14:paraId="120C1021" w14:textId="77777777" w:rsidR="000F70A3" w:rsidRPr="000F70A3" w:rsidRDefault="000F70A3" w:rsidP="00DA3216">
      <w:pPr>
        <w:pStyle w:val="54CheadHeadingsHeadingstyles"/>
        <w:rPr>
          <w:rFonts w:cs="Calibri"/>
        </w:rPr>
      </w:pPr>
      <w:r w:rsidRPr="000F70A3">
        <w:t>Reminders</w:t>
      </w:r>
    </w:p>
    <w:p w14:paraId="73D37FA7" w14:textId="77777777" w:rsidR="000F70A3" w:rsidRPr="000F70A3" w:rsidRDefault="000F70A3" w:rsidP="00DA3216">
      <w:pPr>
        <w:pStyle w:val="602TextfoTextstylesTextstyles"/>
      </w:pPr>
      <w:r w:rsidRPr="000F70A3">
        <w:t>The views on reminders were split. On the whole all parents felt that receiving a reminder on days 4, 7, 14 and 28 would be helpful as they felt they would be unlikely to keep track of days or if their child was feeling better they would be likely to forget to fill it in. They also felt it would be important that an interest was shown in them and their child and, contact with a clinical person such as a research nurse would provide them with an avenue for asking questions about their child</w:t>
      </w:r>
      <w:r w:rsidRPr="000F70A3">
        <w:rPr>
          <w:color w:val="00B0F0"/>
        </w:rPr>
        <w:t>’</w:t>
      </w:r>
      <w:r w:rsidRPr="000F70A3">
        <w:t>s health.</w:t>
      </w:r>
    </w:p>
    <w:p w14:paraId="13D51651" w14:textId="77777777" w:rsidR="000F70A3" w:rsidRPr="000F70A3" w:rsidRDefault="000F70A3" w:rsidP="00DA3216">
      <w:pPr>
        <w:pStyle w:val="602TextfoTextstylesTextstyles"/>
      </w:pPr>
      <w:r w:rsidRPr="000F70A3">
        <w:t xml:space="preserve">Only very few parents felt comfortable with phone </w:t>
      </w:r>
      <w:r w:rsidRPr="000F70A3">
        <w:rPr>
          <w:i/>
        </w:rPr>
        <w:t>reminders</w:t>
      </w:r>
      <w:r w:rsidRPr="000F70A3">
        <w:t xml:space="preserve"> as they felt it was a hassle, </w:t>
      </w:r>
      <w:r w:rsidRPr="000F70A3">
        <w:rPr>
          <w:color w:val="00B0F0"/>
        </w:rPr>
        <w:t>time-consuming</w:t>
      </w:r>
      <w:r w:rsidRPr="000F70A3">
        <w:t xml:space="preserve"> and intrusive. Many preferred text reminders over </w:t>
      </w:r>
      <w:r w:rsidRPr="000F70A3">
        <w:rPr>
          <w:color w:val="00B0F0"/>
        </w:rPr>
        <w:t>e-mail</w:t>
      </w:r>
      <w:r w:rsidRPr="000F70A3">
        <w:t xml:space="preserve"> and only a few felt happy to relay the study </w:t>
      </w:r>
      <w:r w:rsidRPr="000F70A3">
        <w:rPr>
          <w:highlight w:val="magenta"/>
        </w:rPr>
        <w:t>data</w:t>
      </w:r>
      <w:r w:rsidRPr="000F70A3">
        <w:t xml:space="preserve"> (temperatures) in text. This was often seen to be a lot of hassle and potentially falsely reassuring (it would need to be made clear that there would be no clinical advice/</w:t>
      </w:r>
      <w:r w:rsidRPr="000F70A3">
        <w:rPr>
          <w:highlight w:val="magenta"/>
        </w:rPr>
        <w:t>follow up</w:t>
      </w:r>
      <w:r w:rsidRPr="000F70A3">
        <w:t xml:space="preserve"> to texting the temperature and that it was purely for </w:t>
      </w:r>
      <w:r w:rsidRPr="000F70A3">
        <w:rPr>
          <w:highlight w:val="magenta"/>
        </w:rPr>
        <w:t>data</w:t>
      </w:r>
      <w:r w:rsidRPr="000F70A3">
        <w:t xml:space="preserve"> collection purposes and not for monitoring their child</w:t>
      </w:r>
      <w:r w:rsidRPr="000F70A3">
        <w:rPr>
          <w:color w:val="00B0F0"/>
        </w:rPr>
        <w:t>’</w:t>
      </w:r>
      <w:r w:rsidRPr="000F70A3">
        <w:t xml:space="preserve">s health. For some, daily text messages for the first week would be too much and the overall consensus was to give parents the choice of what type of contact (i.e. text, </w:t>
      </w:r>
      <w:r w:rsidRPr="000F70A3">
        <w:rPr>
          <w:color w:val="00B0F0"/>
        </w:rPr>
        <w:t>e-mail</w:t>
      </w:r>
      <w:r w:rsidRPr="000F70A3">
        <w:t>, telephone) and how often they wanted to receive reminders.</w:t>
      </w:r>
    </w:p>
    <w:p w14:paraId="70C5E396" w14:textId="77777777" w:rsidR="000F70A3" w:rsidRPr="000F70A3" w:rsidRDefault="000F70A3" w:rsidP="00DA3216">
      <w:pPr>
        <w:pStyle w:val="54CheadHeadingsHeadingstyles"/>
        <w:rPr>
          <w:rFonts w:cs="Calibri"/>
        </w:rPr>
      </w:pPr>
      <w:r w:rsidRPr="000F70A3">
        <w:t>Other issues around study diaries:</w:t>
      </w:r>
    </w:p>
    <w:p w14:paraId="72B8DA3D" w14:textId="77777777" w:rsidR="000F70A3" w:rsidRPr="000F70A3" w:rsidRDefault="000F70A3" w:rsidP="00DA3216">
      <w:pPr>
        <w:pStyle w:val="602TextfoTextstylesTextstyles"/>
      </w:pPr>
      <w:r w:rsidRPr="000F70A3">
        <w:t xml:space="preserve">Parents queried what happens if a child is hospitalised leading to no </w:t>
      </w:r>
      <w:r w:rsidRPr="000F70A3">
        <w:rPr>
          <w:highlight w:val="magenta"/>
        </w:rPr>
        <w:t>data</w:t>
      </w:r>
      <w:r w:rsidRPr="000F70A3">
        <w:t xml:space="preserve"> entries and what happens if child recovers and then has a relapse within the 28 days. Parents need to be informed from the outset that missing a section of the diary means a) they can still carry on filling in the diary, and b) not to make up </w:t>
      </w:r>
      <w:r w:rsidRPr="000F70A3">
        <w:rPr>
          <w:highlight w:val="magenta"/>
        </w:rPr>
        <w:t>data</w:t>
      </w:r>
      <w:r w:rsidRPr="000F70A3">
        <w:t xml:space="preserve"> retrospectively</w:t>
      </w:r>
    </w:p>
    <w:p w14:paraId="389953F7" w14:textId="77777777" w:rsidR="000F70A3" w:rsidRPr="000F70A3" w:rsidRDefault="000F70A3" w:rsidP="00DA3216">
      <w:pPr>
        <w:pStyle w:val="602TextfoTextstylesTextstyles"/>
        <w:rPr>
          <w:b/>
        </w:rPr>
      </w:pPr>
      <w:r w:rsidRPr="000F70A3">
        <w:t xml:space="preserve">Most parents suggested having a phone number/contact for a clinical contact they could reach in case they had concerns over their child. If this was not possible, parents suggested giving clear guidance on who/why/when to contact if their child deteriorated. This was considered particularly important safety-netting for younger and newer parents who might not have established the </w:t>
      </w:r>
      <w:r w:rsidRPr="000F70A3">
        <w:rPr>
          <w:color w:val="00B0F0"/>
        </w:rPr>
        <w:t>“</w:t>
      </w:r>
      <w:r w:rsidRPr="000F70A3">
        <w:t>baseline</w:t>
      </w:r>
      <w:r w:rsidRPr="000F70A3">
        <w:rPr>
          <w:color w:val="00B0F0"/>
        </w:rPr>
        <w:t>”</w:t>
      </w:r>
      <w:r w:rsidRPr="000F70A3">
        <w:t xml:space="preserve"> for when their child was ill.</w:t>
      </w:r>
    </w:p>
    <w:p w14:paraId="6D3703AB" w14:textId="77777777" w:rsidR="000F70A3" w:rsidRPr="000F70A3" w:rsidRDefault="000F70A3" w:rsidP="00DA3216">
      <w:pPr>
        <w:pStyle w:val="602TextfoTextstylesTextstyles"/>
      </w:pPr>
      <w:r w:rsidRPr="000F70A3">
        <w:t xml:space="preserve">Parents suggested having an informal, free text box </w:t>
      </w:r>
      <w:r w:rsidRPr="000F70A3">
        <w:rPr>
          <w:color w:val="00B0F0"/>
        </w:rPr>
        <w:t>“</w:t>
      </w:r>
      <w:r w:rsidRPr="000F70A3">
        <w:t>About me</w:t>
      </w:r>
      <w:r w:rsidRPr="000F70A3">
        <w:rPr>
          <w:color w:val="00B0F0"/>
        </w:rPr>
        <w:t>”</w:t>
      </w:r>
      <w:r w:rsidRPr="000F70A3">
        <w:t xml:space="preserve"> either at the beginning or the end of the diary so that they could describe what their child was usually like (establishing baseline).</w:t>
      </w:r>
    </w:p>
    <w:p w14:paraId="7294A843" w14:textId="77777777" w:rsidR="000F70A3" w:rsidRPr="000F70A3" w:rsidRDefault="000F70A3" w:rsidP="00DA3216">
      <w:pPr>
        <w:pStyle w:val="54CheadHeadingsHeadingstyles"/>
      </w:pPr>
      <w:r w:rsidRPr="000F70A3">
        <w:t>Trial practicalities</w:t>
      </w:r>
      <w:r w:rsidRPr="000F70A3">
        <w:rPr>
          <w:color w:val="00B0F0"/>
        </w:rPr>
        <w:t>/</w:t>
      </w:r>
      <w:r w:rsidRPr="000F70A3">
        <w:t>issues</w:t>
      </w:r>
    </w:p>
    <w:p w14:paraId="4C07F6F8" w14:textId="77777777" w:rsidR="000F70A3" w:rsidRPr="000F70A3" w:rsidRDefault="000F70A3" w:rsidP="00DA3216">
      <w:pPr>
        <w:pStyle w:val="55DheadHeadingsHeadingstyles"/>
      </w:pPr>
      <w:r w:rsidRPr="000F70A3">
        <w:t>Consent procedure</w:t>
      </w:r>
    </w:p>
    <w:p w14:paraId="689A5FD5" w14:textId="77777777" w:rsidR="000F70A3" w:rsidRPr="000F70A3" w:rsidRDefault="000F70A3" w:rsidP="00DA3216">
      <w:pPr>
        <w:pStyle w:val="602TextfoTextstylesTextstyles"/>
      </w:pPr>
      <w:r w:rsidRPr="000F70A3">
        <w:t xml:space="preserve">Out of three scenarios we presented parents with (making a decision during one visit, coming back to the surgery later in the day after having thought about it, having a research nurse come for a home visit), clearly the least favoured option was coming back to the surgery later in the day. Reasons included wanting to get ill child home to rest/give them medication, being exposed to germs at the surgery, practicalities around transport, home life, other children). Views were split between the two other options. For some a home visit would be a deciding factor of being able to take part as it would allow more time to decide/discuss with a partner and make participation as easy as possible. Someone wanted to be able to decide on the spot so that the decision would then be made and it all dealt with. In the </w:t>
      </w:r>
      <w:r w:rsidRPr="000F70A3">
        <w:rPr>
          <w:highlight w:val="magenta"/>
        </w:rPr>
        <w:t>latter</w:t>
      </w:r>
      <w:r w:rsidRPr="000F70A3">
        <w:t xml:space="preserve"> scenario, parents found it hard to estimate how long they would need to make a decision but emphasised the importance of having a lot of time to ask questions and clarify any concerns.</w:t>
      </w:r>
    </w:p>
    <w:p w14:paraId="055B631F" w14:textId="77777777" w:rsidR="000F70A3" w:rsidRPr="000F70A3" w:rsidRDefault="000F70A3" w:rsidP="00DA3216">
      <w:pPr>
        <w:pStyle w:val="602TextfoTextstylesTextstyles"/>
      </w:pPr>
      <w:r w:rsidRPr="000F70A3">
        <w:t>However, every group suggested that the best way to facilitate informed consent with appropriate time and circumstances was informing these parents of the trial in advance of the flu-season and being able to pre-register to take part, if (very often when) the child becomes unwell. Prior knowledge of the trial would also help parents to contact their GP early on with their child</w:t>
      </w:r>
      <w:r w:rsidRPr="000F70A3">
        <w:rPr>
          <w:color w:val="00B0F0"/>
        </w:rPr>
        <w:t>’</w:t>
      </w:r>
      <w:r w:rsidRPr="000F70A3">
        <w:t xml:space="preserve">s ILI if under normal circumstances they would choose to wait and manage at home. Parents strongly felt that this option would allow them to read the trial information with time and discuss with a partner, and for them to make a decision in </w:t>
      </w:r>
      <w:r w:rsidRPr="000F70A3">
        <w:rPr>
          <w:highlight w:val="magenta"/>
        </w:rPr>
        <w:t>principle</w:t>
      </w:r>
      <w:r w:rsidRPr="000F70A3">
        <w:t xml:space="preserve"> in advance. They suggested having access to the video PIL already at this point.</w:t>
      </w:r>
    </w:p>
    <w:p w14:paraId="1DF64F97" w14:textId="77777777" w:rsidR="000F70A3" w:rsidRPr="000F70A3" w:rsidRDefault="000F70A3" w:rsidP="00DA3216">
      <w:pPr>
        <w:pStyle w:val="602TextfoTextstylesTextstyles"/>
      </w:pPr>
      <w:r w:rsidRPr="000F70A3">
        <w:t>Young people said they would not want to wait around the surgery when ill for any longer than necessary. However, several expressed that they might feel a sense of pressure to have to agree to take part if a nurse came for a home visit. Split preference between these two options.</w:t>
      </w:r>
    </w:p>
    <w:p w14:paraId="0D581798" w14:textId="77777777" w:rsidR="000F70A3" w:rsidRPr="000F70A3" w:rsidRDefault="000F70A3" w:rsidP="00DA3216">
      <w:pPr>
        <w:pStyle w:val="602TextfoTextstylesTextstyles"/>
      </w:pPr>
      <w:r w:rsidRPr="000F70A3">
        <w:t>As for the parents, for young people the worst option was to come back to the surgery later in the day. Although young people said their parents would ultimately make the decision to take part, they would want to be heard and for it to be as much a joint decision as possible. They felt the trial remit was such that a decision to take part would be easy and not seem daunting.</w:t>
      </w:r>
    </w:p>
    <w:p w14:paraId="078DDD7E" w14:textId="77777777" w:rsidR="000F70A3" w:rsidRPr="000F70A3" w:rsidRDefault="000F70A3" w:rsidP="00DA3216">
      <w:pPr>
        <w:pStyle w:val="54CheadHeadingsHeadingstyles"/>
      </w:pPr>
      <w:r w:rsidRPr="000F70A3">
        <w:t>Placebo</w:t>
      </w:r>
    </w:p>
    <w:p w14:paraId="6876D1E2" w14:textId="77777777" w:rsidR="000F70A3" w:rsidRPr="000F70A3" w:rsidRDefault="000F70A3" w:rsidP="00DA3216">
      <w:pPr>
        <w:pStyle w:val="602TextfoTextstylesTextstyles"/>
      </w:pPr>
      <w:r w:rsidRPr="000F70A3">
        <w:t>Many parents expressed concerns despite being able to appreciate the necessity of placebo arm in the trial. The main concern was over perception of taking a risk with their child</w:t>
      </w:r>
      <w:r w:rsidRPr="000F70A3">
        <w:rPr>
          <w:color w:val="00B0F0"/>
        </w:rPr>
        <w:t>’</w:t>
      </w:r>
      <w:r w:rsidRPr="000F70A3">
        <w:t>s health by entering a trial with a 50% risk of being given a placebo. Many already had access to early antibiotics through their GP or hospital and would not risk this for trial participation. It was also common that after initial symptoms their child could become unwell very rapidly and parents felt that signing up for a trial might cost them these critical days while waiting to see if the study medication would help their child.</w:t>
      </w:r>
    </w:p>
    <w:p w14:paraId="315EC443" w14:textId="77777777" w:rsidR="000F70A3" w:rsidRPr="000F70A3" w:rsidRDefault="000F70A3" w:rsidP="00DA3216">
      <w:pPr>
        <w:pStyle w:val="602TextfoTextstylesTextstyles"/>
      </w:pPr>
      <w:r w:rsidRPr="000F70A3">
        <w:t>Parents suggested that more explanation around placebo would be included in the PIL and reassurance over how it was made sure that their child</w:t>
      </w:r>
      <w:r w:rsidRPr="000F70A3">
        <w:rPr>
          <w:color w:val="00B0F0"/>
        </w:rPr>
        <w:t>’</w:t>
      </w:r>
      <w:r w:rsidRPr="000F70A3">
        <w:t>s health would not be at risk in any way by enrolling (as by experience some felt that early antibiotics might be helpful).</w:t>
      </w:r>
    </w:p>
    <w:p w14:paraId="1B9C0D2B" w14:textId="77777777" w:rsidR="000F70A3" w:rsidRPr="000F70A3" w:rsidRDefault="000F70A3" w:rsidP="00DA3216">
      <w:pPr>
        <w:pStyle w:val="602TextfoTextstylesTextstyles"/>
      </w:pPr>
      <w:r w:rsidRPr="000F70A3">
        <w:t>They also suggested clearer and more detailed guidance over safety-netting around deterioration, what exact symptoms to look out for, and in what timeframe and who to contact. They felt this would be particularly important for newer parents</w:t>
      </w:r>
    </w:p>
    <w:p w14:paraId="4CB1E165" w14:textId="77777777" w:rsidR="000F70A3" w:rsidRPr="000F70A3" w:rsidRDefault="000F70A3" w:rsidP="00DA3216">
      <w:pPr>
        <w:pStyle w:val="602TextfoTextstylesTextstyles"/>
      </w:pPr>
      <w:r w:rsidRPr="000F70A3">
        <w:t>Many felt that a helpline number to have access to someone with understanding about the trial and who they could contact particularly in adverse situations.</w:t>
      </w:r>
    </w:p>
    <w:p w14:paraId="5F20B110" w14:textId="77777777" w:rsidR="000F70A3" w:rsidRPr="000F70A3" w:rsidRDefault="000F70A3" w:rsidP="00DA3216">
      <w:pPr>
        <w:pStyle w:val="602TextfoTextstylesTextstyles"/>
      </w:pPr>
      <w:r w:rsidRPr="000F70A3">
        <w:t xml:space="preserve">The Young Person group concerns echoed the views by parents in that they too wanted more reassurance in the PIL that their care and wellbeing would not be at risk at any point. They also pointed that young people might make unhelpful connotations with </w:t>
      </w:r>
      <w:r w:rsidRPr="000F70A3">
        <w:rPr>
          <w:color w:val="00B0F0"/>
        </w:rPr>
        <w:t>‘</w:t>
      </w:r>
      <w:r w:rsidRPr="000F70A3">
        <w:t>placebo</w:t>
      </w:r>
      <w:r w:rsidRPr="000F70A3">
        <w:rPr>
          <w:color w:val="00B0F0"/>
        </w:rPr>
        <w:t>’</w:t>
      </w:r>
      <w:r w:rsidRPr="000F70A3">
        <w:t xml:space="preserve"> e.g. homeopathy and this could be more clearly explained in the child PILs.</w:t>
      </w:r>
    </w:p>
    <w:p w14:paraId="043596B2" w14:textId="77777777" w:rsidR="000F70A3" w:rsidRPr="000F70A3" w:rsidRDefault="000F70A3" w:rsidP="00DA3216">
      <w:pPr>
        <w:pStyle w:val="54CheadHeadingsHeadingstyles"/>
      </w:pPr>
      <w:r w:rsidRPr="000F70A3">
        <w:t>Early antibiotics use</w:t>
      </w:r>
    </w:p>
    <w:p w14:paraId="16E2E303" w14:textId="77777777" w:rsidR="000F70A3" w:rsidRPr="000F70A3" w:rsidRDefault="000F70A3" w:rsidP="00DA3216">
      <w:pPr>
        <w:pStyle w:val="602TextfoTextstylesTextstyles"/>
      </w:pPr>
      <w:r w:rsidRPr="000F70A3">
        <w:t>The aims of the trial would need to be explained carefully to parents who are often told to avoid antibiotics, and some struggle to get antibiotics prescribed for their children (experience split in groups re access to antibiotics). A risk of conflicting messages between warnings around the risks of antibiotic resistance vs. encouraging their early prescribing.</w:t>
      </w:r>
    </w:p>
    <w:p w14:paraId="192BB459" w14:textId="77777777" w:rsidR="000F70A3" w:rsidRPr="000F70A3" w:rsidRDefault="000F70A3" w:rsidP="00DA3216">
      <w:pPr>
        <w:pStyle w:val="54CheadHeadingsHeadingstyles"/>
      </w:pPr>
      <w:r w:rsidRPr="000F70A3">
        <w:t>Swabs</w:t>
      </w:r>
    </w:p>
    <w:p w14:paraId="3CB26E08" w14:textId="77777777" w:rsidR="000F70A3" w:rsidRPr="000F70A3" w:rsidRDefault="000F70A3" w:rsidP="00DA3216">
      <w:pPr>
        <w:pStyle w:val="602TextfoTextstylesTextstyles"/>
      </w:pPr>
      <w:r w:rsidRPr="000F70A3">
        <w:t xml:space="preserve">Views were split on swabs. Some saw these as </w:t>
      </w:r>
      <w:r w:rsidRPr="000F70A3">
        <w:rPr>
          <w:color w:val="00B0F0"/>
          <w:highlight w:val="green"/>
        </w:rPr>
        <w:t>“</w:t>
      </w:r>
      <w:r w:rsidRPr="000F70A3">
        <w:rPr>
          <w:highlight w:val="green"/>
        </w:rPr>
        <w:t>an added bonus</w:t>
      </w:r>
      <w:r w:rsidRPr="000F70A3">
        <w:rPr>
          <w:color w:val="00B0F0"/>
          <w:highlight w:val="green"/>
        </w:rPr>
        <w:t>”</w:t>
      </w:r>
      <w:r w:rsidRPr="000F70A3">
        <w:t xml:space="preserve"> whereas some knew that they might not be able to participate in the trial because their child would refuse swabs. This was usually either </w:t>
      </w:r>
      <w:r w:rsidRPr="000F70A3">
        <w:rPr>
          <w:highlight w:val="magenta"/>
        </w:rPr>
        <w:t>due to</w:t>
      </w:r>
      <w:r w:rsidRPr="000F70A3">
        <w:t xml:space="preserve"> their disability (sensory sensitivities) or bad experiences/over exposure to swabs in the past</w:t>
      </w:r>
    </w:p>
    <w:p w14:paraId="24340F7C" w14:textId="77777777" w:rsidR="000F70A3" w:rsidRPr="000F70A3" w:rsidRDefault="000F70A3" w:rsidP="00DA3216">
      <w:pPr>
        <w:pStyle w:val="602TextfoTextstylesTextstyles"/>
      </w:pPr>
      <w:r w:rsidRPr="000F70A3">
        <w:t>They suggested possible ways around this including to involve the parents in the process as much as possible, e.g. to demonstrate to parents how to take the swabs and then ask the parent to take the swab from the child. They felt their child allows a medical intervention from their parent that they would not from a doctor, and often received injections or medications from a parent. Also suggested to send a pack with swabs etc. in advance to interested/pre-registered parents so the child could familiarise themselves with the equipment and the process. They suggested that if this was not possible to use parents or the Archie penguin as a medium to demonstrate the process of taking the swabs to make the child feel at ease.</w:t>
      </w:r>
    </w:p>
    <w:p w14:paraId="7C42D512" w14:textId="77777777" w:rsidR="000F70A3" w:rsidRPr="000F70A3" w:rsidRDefault="000F70A3" w:rsidP="00DA3216">
      <w:pPr>
        <w:pStyle w:val="54CheadHeadingsHeadingstyles"/>
      </w:pPr>
      <w:r w:rsidRPr="000F70A3">
        <w:t>Overall comments</w:t>
      </w:r>
    </w:p>
    <w:p w14:paraId="2AF50941" w14:textId="77777777" w:rsidR="000F70A3" w:rsidRPr="000F70A3" w:rsidRDefault="000F70A3" w:rsidP="00DA3216">
      <w:pPr>
        <w:pStyle w:val="55DheadHeadingsHeadingstyles"/>
      </w:pPr>
      <w:r w:rsidRPr="000F70A3">
        <w:t>Trial incentives</w:t>
      </w:r>
    </w:p>
    <w:p w14:paraId="1570C3E1" w14:textId="77777777" w:rsidR="000F70A3" w:rsidRPr="000F70A3" w:rsidRDefault="000F70A3" w:rsidP="00DA3216">
      <w:pPr>
        <w:pStyle w:val="602TextfoTextstylesTextstyles"/>
      </w:pPr>
      <w:r w:rsidRPr="000F70A3">
        <w:t>Parents suggested incentives particularly for children taking part, including Archie penguin stickers, sticker book, key ring, cuddly toy, certificates of participation. Colouring pages, puzzles for older children and a participation certificate were introduced and examples can be viewed in Report Supplementary Material 2 – Advertising and participating engagement documents.</w:t>
      </w:r>
    </w:p>
    <w:p w14:paraId="22174A3C" w14:textId="77777777" w:rsidR="000F70A3" w:rsidRPr="000F70A3" w:rsidRDefault="000F70A3" w:rsidP="00DA3216">
      <w:pPr>
        <w:pStyle w:val="55DheadHeadingsHeadingstyles"/>
      </w:pPr>
      <w:r w:rsidRPr="000F70A3">
        <w:t>Keeping up to date on the trial progress and findings</w:t>
      </w:r>
    </w:p>
    <w:p w14:paraId="72879BD0" w14:textId="77777777" w:rsidR="000F70A3" w:rsidRPr="000F70A3" w:rsidRDefault="000F70A3" w:rsidP="00DA3216">
      <w:pPr>
        <w:pStyle w:val="602TextfoTextstylesTextstyles"/>
        <w:rPr>
          <w:b/>
        </w:rPr>
      </w:pPr>
      <w:r w:rsidRPr="000F70A3">
        <w:t>This was considered very important. Parents wanted to be updated with the progress of the trial as well as the end findings of the trial. The best format for this was considered to be a website or a newsletter (concerns were expressed over unmonitored social media platforms). This contributes to their sense of worth and purpose of taking part.</w:t>
      </w:r>
    </w:p>
    <w:p w14:paraId="5771675B" w14:textId="77777777" w:rsidR="000F70A3" w:rsidRPr="000F70A3" w:rsidRDefault="000F70A3" w:rsidP="00DA3216">
      <w:pPr>
        <w:pStyle w:val="55DheadHeadingsHeadingstyles"/>
      </w:pPr>
      <w:r w:rsidRPr="000F70A3">
        <w:t>Discussion and conclusions</w:t>
      </w:r>
    </w:p>
    <w:p w14:paraId="3497045F" w14:textId="77777777" w:rsidR="000F70A3" w:rsidRPr="000F70A3" w:rsidRDefault="000F70A3" w:rsidP="00DA3216">
      <w:pPr>
        <w:pStyle w:val="602TextfoTextstylesTextstyles"/>
      </w:pPr>
      <w:r w:rsidRPr="000F70A3">
        <w:t>The contribution of parents and young people to the design of work packages c, d and e provided invaluable feedback to ensure the trial was more accessible to families. Their comments led to the adoption of the E</w:t>
      </w:r>
      <w:r w:rsidRPr="000F70A3">
        <w:rPr>
          <w:color w:val="00B0F0"/>
        </w:rPr>
        <w:t>Q-5</w:t>
      </w:r>
      <w:r w:rsidRPr="000F70A3">
        <w:t>D-Y questionnaire over the CHU9D and the use of weekly diaries rather than one 28 day diary. Contributors also supported the adoption of a home visit model to facilitate recruitment, although this was not feasible to introduce into ARCHIE until the 2016</w:t>
      </w:r>
      <w:r w:rsidRPr="000F70A3">
        <w:rPr>
          <w:color w:val="00B0F0"/>
        </w:rPr>
        <w:t>–2</w:t>
      </w:r>
      <w:r w:rsidRPr="000F70A3">
        <w:t>017 season. It was not possible to introduce every suggestion, for example, a clinical contact number for trial participants was not appropriate as the trial team cannot assume responsibility for clinical care and software to enable online diary completion could not be sourced in time for study commencement.</w:t>
      </w:r>
    </w:p>
    <w:p w14:paraId="208F8316" w14:textId="77777777" w:rsidR="000F70A3" w:rsidRPr="000F70A3" w:rsidRDefault="000F70A3" w:rsidP="00DA3216">
      <w:pPr>
        <w:pStyle w:val="54CheadHeadingsHeadingstyles"/>
      </w:pPr>
      <w:r w:rsidRPr="000F70A3">
        <w:t>Reflections</w:t>
      </w:r>
    </w:p>
    <w:p w14:paraId="3CA49CEA" w14:textId="77777777" w:rsidR="000F70A3" w:rsidRPr="000F70A3" w:rsidRDefault="000F70A3" w:rsidP="00DA3216">
      <w:pPr>
        <w:pStyle w:val="602TextfoTextstylesTextstyles"/>
      </w:pPr>
      <w:r w:rsidRPr="000F70A3">
        <w:t xml:space="preserve">Our PPI discussion groups were extremely informative and highlighted points and suggestions which we as a research team would not otherwise have considered and which greatly facilitated delivery of our study. These included advice about the trial mascot (which enabled us to avoid a character which some might have viewed as offensive), publicity materials and use of weekly diaries instead of one 28-day diary. The </w:t>
      </w:r>
      <w:r w:rsidRPr="000F70A3">
        <w:rPr>
          <w:highlight w:val="magenta"/>
        </w:rPr>
        <w:t>latter</w:t>
      </w:r>
      <w:r w:rsidRPr="000F70A3">
        <w:t xml:space="preserve"> most likely resulted in us being able to collect more diary </w:t>
      </w:r>
      <w:r w:rsidRPr="000F70A3">
        <w:rPr>
          <w:highlight w:val="magenta"/>
        </w:rPr>
        <w:t>data</w:t>
      </w:r>
      <w:r w:rsidRPr="000F70A3">
        <w:t xml:space="preserve"> during the first week after children entered the study (the most relevant period for ILI episodes) than would have otherwise have been possible had we relied upon participants to complete and return one 28-day diary. On reflection, our discussion groups may have been more productive had we made it clearer from the outset what the research team was in a position to provide, as some suggestions were beyond the scope of the resources available to us. We might also have gained additional benefit from holding some further discussion groups later on in the programme to help us identify potential strategies for supporting recruitment and retention during the trial. Although we identified two patient representatives to join our Programme Steering Committee (one of whom provided us with very helpful advice during the entire course of the trial), a wider range of perspectives from both parents and young people may have been helpful in providing us with more options to consider.</w:t>
      </w:r>
    </w:p>
    <w:p w14:paraId="12248026" w14:textId="77777777" w:rsidR="000F70A3" w:rsidRPr="000F70A3" w:rsidRDefault="000F70A3" w:rsidP="00DA3216">
      <w:pPr>
        <w:pStyle w:val="52AheadHeadingsHeadingstyles"/>
        <w:rPr>
          <w:rFonts w:eastAsia="DengXian Light"/>
        </w:rPr>
      </w:pPr>
      <w:bookmarkStart w:id="32" w:name="_Toc106099133"/>
      <w:r w:rsidRPr="000F70A3">
        <w:rPr>
          <w:rFonts w:eastAsia="DengXian Light"/>
        </w:rPr>
        <w:t>Discussion and Conclusions</w:t>
      </w:r>
      <w:bookmarkEnd w:id="31"/>
      <w:bookmarkEnd w:id="32"/>
    </w:p>
    <w:p w14:paraId="1D54DBB1" w14:textId="77777777" w:rsidR="000F70A3" w:rsidRPr="000F70A3" w:rsidRDefault="000F70A3" w:rsidP="00DA3216">
      <w:pPr>
        <w:pStyle w:val="53BheadHeadingsHeadingstyles"/>
        <w:rPr>
          <w:rFonts w:eastAsia="Calibri"/>
        </w:rPr>
      </w:pPr>
      <w:r w:rsidRPr="000F70A3">
        <w:rPr>
          <w:rFonts w:eastAsia="Calibri"/>
        </w:rPr>
        <w:t>Key findings</w:t>
      </w:r>
    </w:p>
    <w:p w14:paraId="5B7CDD61" w14:textId="77777777" w:rsidR="000F70A3" w:rsidRPr="000F70A3" w:rsidRDefault="000F70A3" w:rsidP="00DA3216">
      <w:pPr>
        <w:pStyle w:val="602TextfoTextstylesTextstyles"/>
        <w:rPr>
          <w:rFonts w:eastAsia="Calibri"/>
        </w:rPr>
      </w:pPr>
      <w:r w:rsidRPr="000F70A3">
        <w:rPr>
          <w:rFonts w:eastAsia="Calibri"/>
        </w:rPr>
        <w:t>In this programme of research, we identified risk factors for influenza-related clinical deterioration in children, explored GPs</w:t>
      </w:r>
      <w:r w:rsidRPr="000F70A3">
        <w:rPr>
          <w:rFonts w:eastAsia="Calibri"/>
          <w:color w:val="00B0F0"/>
        </w:rPr>
        <w:t>’</w:t>
      </w:r>
      <w:r w:rsidRPr="000F70A3">
        <w:rPr>
          <w:rFonts w:eastAsia="Calibri"/>
        </w:rPr>
        <w:t xml:space="preserve"> decision-making about whether to prescribe antibiotics to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presenting with ILI in primary care and identified issues that are important to parents and guardians of children at risk of clinical deterioration. We performed a clinical and economic evaluation of early co-amoxiclav treatment in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presenting with ILI in primary or ambulatory care settings, and explored the potential implications of early co-amoxiclav treatment on respiratory bacterial carriage and antibiotic resistance.</w:t>
      </w:r>
    </w:p>
    <w:p w14:paraId="6045C866" w14:textId="77777777" w:rsidR="000F70A3" w:rsidRPr="000F70A3" w:rsidRDefault="000F70A3" w:rsidP="00DA3216">
      <w:pPr>
        <w:pStyle w:val="602TextfoTextstylesTextstyles"/>
        <w:rPr>
          <w:rFonts w:eastAsia="Calibri"/>
        </w:rPr>
      </w:pPr>
      <w:r w:rsidRPr="000F70A3">
        <w:rPr>
          <w:rFonts w:eastAsia="Calibri"/>
        </w:rPr>
        <w:t xml:space="preserve">Our systematic review and meta-analysis included </w:t>
      </w:r>
      <w:r w:rsidRPr="000F70A3">
        <w:rPr>
          <w:rFonts w:eastAsia="Calibri"/>
          <w:highlight w:val="magenta"/>
        </w:rPr>
        <w:t>data</w:t>
      </w:r>
      <w:r w:rsidRPr="000F70A3">
        <w:rPr>
          <w:rFonts w:eastAsia="Calibri"/>
        </w:rPr>
        <w:t xml:space="preserve"> from a total of 28 articles reporting </w:t>
      </w:r>
      <w:r w:rsidRPr="000F70A3">
        <w:rPr>
          <w:rFonts w:eastAsia="Calibri"/>
          <w:highlight w:val="magenta"/>
        </w:rPr>
        <w:t>data</w:t>
      </w:r>
      <w:r w:rsidRPr="000F70A3">
        <w:rPr>
          <w:rFonts w:eastAsia="Calibri"/>
        </w:rPr>
        <w:t xml:space="preserve"> from 27 studies. We identified premature birth as a new risk factor for influenza-related complications in children. Other strong risk factors were neurological disorders, sickle cell disease, diabetes mellitus and age younger than two years.</w:t>
      </w:r>
    </w:p>
    <w:p w14:paraId="7025DC0D" w14:textId="77777777" w:rsidR="000F70A3" w:rsidRPr="000F70A3" w:rsidRDefault="000F70A3" w:rsidP="00DA3216">
      <w:pPr>
        <w:pStyle w:val="602TextfoTextstylesTextstyles"/>
        <w:rPr>
          <w:rFonts w:eastAsia="Calibri"/>
        </w:rPr>
      </w:pPr>
      <w:r w:rsidRPr="000F70A3">
        <w:rPr>
          <w:rFonts w:eastAsia="Calibri"/>
        </w:rPr>
        <w:t xml:space="preserve">To help us gain a broader perspective of how clinicians assess risk, we also conducted a qualitative interview study to explore factors which influence how GPs make decisions about whether to prescribe antibiotics to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presenting in primary care with ILI. Semi-structured interviews based on a case vignette devised by the research team were conducted with 41 GPs practising in the UK. The lack of relevant evidence-based clinical </w:t>
      </w:r>
      <w:r w:rsidRPr="000F70A3">
        <w:rPr>
          <w:rFonts w:eastAsia="Calibri"/>
          <w:highlight w:val="magenta"/>
        </w:rPr>
        <w:t>practice</w:t>
      </w:r>
      <w:r w:rsidRPr="000F70A3">
        <w:rPr>
          <w:rFonts w:eastAsia="Calibri"/>
        </w:rPr>
        <w:t xml:space="preserve"> guidelines was reflected in the wide variation we observed in GPs</w:t>
      </w:r>
      <w:r w:rsidRPr="000F70A3">
        <w:rPr>
          <w:rFonts w:eastAsia="Calibri"/>
          <w:color w:val="00B0F0"/>
        </w:rPr>
        <w:t>’</w:t>
      </w:r>
      <w:r w:rsidRPr="000F70A3">
        <w:rPr>
          <w:rFonts w:eastAsia="Calibri"/>
        </w:rPr>
        <w:t xml:space="preserve"> opinions on the potential significance of underlying co-morbidities as well as in their approach to making clinical decisions based on complex global assessments. Additionally we conducted in depth qualitative interviews with parents and guardians of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Through these interviews we learned that parents and guardians are not always prepared for their child</w:t>
      </w:r>
      <w:r w:rsidRPr="000F70A3">
        <w:rPr>
          <w:rFonts w:eastAsia="Calibri"/>
          <w:color w:val="00B0F0"/>
        </w:rPr>
        <w:t>’</w:t>
      </w:r>
      <w:r w:rsidRPr="000F70A3">
        <w:rPr>
          <w:rFonts w:eastAsia="Calibri"/>
        </w:rPr>
        <w:t>s deterioration during an influenza like illness and that parents and guardians on the whole hold positive attitudes to antibiotic use but are simultaneously aware of the need for responsible and targeted antibiotic use.</w:t>
      </w:r>
    </w:p>
    <w:p w14:paraId="7777C73F" w14:textId="77777777" w:rsidR="000F70A3" w:rsidRPr="000F70A3" w:rsidRDefault="000F70A3" w:rsidP="00DA3216">
      <w:pPr>
        <w:pStyle w:val="602TextfoTextstylesTextstyles"/>
      </w:pPr>
      <w:r w:rsidRPr="000F70A3">
        <w:t>Some text in this section has been adapted with permission of the ERS 2022: European Respiratory Journal 2021 58: 2002819; DOI: 10.1183/13993003.02819</w:t>
      </w:r>
      <w:r w:rsidRPr="000F70A3">
        <w:rPr>
          <w:color w:val="00B0F0"/>
        </w:rPr>
        <w:t>–2</w:t>
      </w:r>
      <w:r w:rsidRPr="000F70A3">
        <w:t>020.</w:t>
      </w:r>
      <w:r w:rsidRPr="000F70A3">
        <w:rPr>
          <w:noProof/>
          <w:vertAlign w:val="superscript"/>
        </w:rPr>
        <w:t>1</w:t>
      </w:r>
      <w:r w:rsidRPr="000F70A3">
        <w:t xml:space="preserve"> The text below includes minor additions and formatting changes to the original text.</w:t>
      </w:r>
    </w:p>
    <w:p w14:paraId="4923A4B6" w14:textId="77777777" w:rsidR="000F70A3" w:rsidRPr="000F70A3" w:rsidRDefault="000F70A3" w:rsidP="00DA3216">
      <w:pPr>
        <w:pStyle w:val="602TextfoTextstylesTextstyles"/>
        <w:rPr>
          <w:rFonts w:eastAsia="Calibri"/>
        </w:rPr>
      </w:pPr>
      <w:r w:rsidRPr="000F70A3">
        <w:rPr>
          <w:rFonts w:eastAsia="Calibri"/>
        </w:rPr>
        <w:t xml:space="preserve">To determine whether early co-amoxiclav treatment was effective at reducing the risk of re-consultation </w:t>
      </w:r>
      <w:r w:rsidRPr="000F70A3">
        <w:rPr>
          <w:rFonts w:eastAsia="Calibri"/>
          <w:highlight w:val="magenta"/>
        </w:rPr>
        <w:t>due to</w:t>
      </w:r>
      <w:r w:rsidRPr="000F70A3">
        <w:rPr>
          <w:rFonts w:eastAsia="Calibri"/>
        </w:rPr>
        <w:t xml:space="preserve"> clinical deterioration in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presenting with ILI in community-based health care settings, we conducted a double-blind randomised placebo-controlled trial comparing a 5-day course of co-amoxiclav 400/57 with an appearance matched placebo. Our trial recruited 271 children. Primary outcome </w:t>
      </w:r>
      <w:r w:rsidRPr="000F70A3">
        <w:rPr>
          <w:rFonts w:eastAsia="Calibri"/>
          <w:highlight w:val="magenta"/>
        </w:rPr>
        <w:t>data</w:t>
      </w:r>
      <w:r w:rsidRPr="000F70A3">
        <w:rPr>
          <w:rFonts w:eastAsia="Calibri"/>
        </w:rPr>
        <w:t xml:space="preserve"> were available for 265 children. There was no evidence of a statistically significant difference in the proportions of children who re-consulted </w:t>
      </w:r>
      <w:r w:rsidRPr="000F70A3">
        <w:rPr>
          <w:rFonts w:eastAsia="Calibri"/>
          <w:highlight w:val="magenta"/>
        </w:rPr>
        <w:t>due to</w:t>
      </w:r>
      <w:r w:rsidRPr="000F70A3">
        <w:rPr>
          <w:rFonts w:eastAsia="Calibri"/>
        </w:rPr>
        <w:t xml:space="preserve"> clinical deterioration between the co-amoxiclav and placebo groups. There was also no evidence of a difference in the proportions of children in whom adverse events were reported between groups.</w:t>
      </w:r>
    </w:p>
    <w:p w14:paraId="7772B873" w14:textId="77777777" w:rsidR="000F70A3" w:rsidRPr="000F70A3" w:rsidRDefault="000F70A3" w:rsidP="00DA3216">
      <w:pPr>
        <w:pStyle w:val="602TextfoTextstylesTextstyles"/>
        <w:rPr>
          <w:rFonts w:eastAsia="Calibri"/>
        </w:rPr>
      </w:pPr>
      <w:r w:rsidRPr="000F70A3">
        <w:rPr>
          <w:rFonts w:eastAsia="Calibri"/>
        </w:rPr>
        <w:t xml:space="preserve">Our within-trial economic evaluation did not find evidence that early co-amoxiclav treatment improves quality of life or reduces healthcare use and costs in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with ILI. Our nested microbiology evaluation also found early co-amoxiclav treatment did not have any adverse impact on respiratory bacterial carriage over the 12-month period of observation, with no emergence of resistance. The most common bacterial isolate found was </w:t>
      </w:r>
      <w:r w:rsidRPr="000F70A3">
        <w:rPr>
          <w:rFonts w:eastAsia="Calibri"/>
          <w:i/>
        </w:rPr>
        <w:t>Haemophilus influenzae</w:t>
      </w:r>
      <w:r w:rsidRPr="000F70A3">
        <w:rPr>
          <w:rFonts w:eastAsia="Calibri"/>
        </w:rPr>
        <w:t xml:space="preserve">. We found no difference in antibiotic susceptibility between </w:t>
      </w:r>
      <w:r w:rsidRPr="000F70A3">
        <w:rPr>
          <w:rFonts w:eastAsia="Calibri"/>
          <w:i/>
        </w:rPr>
        <w:t>H. influenzae</w:t>
      </w:r>
      <w:r w:rsidRPr="000F70A3">
        <w:rPr>
          <w:rFonts w:eastAsia="Calibri"/>
        </w:rPr>
        <w:t xml:space="preserve"> isolates between the co-amoxiclav and placebo groups.</w:t>
      </w:r>
    </w:p>
    <w:p w14:paraId="071B07EC" w14:textId="77777777" w:rsidR="000F70A3" w:rsidRPr="000F70A3" w:rsidRDefault="000F70A3" w:rsidP="00DA3216">
      <w:pPr>
        <w:pStyle w:val="602TextfoTextstylesTextstyles"/>
        <w:rPr>
          <w:rFonts w:eastAsia="Calibri"/>
        </w:rPr>
      </w:pPr>
      <w:r w:rsidRPr="000F70A3">
        <w:rPr>
          <w:rFonts w:eastAsia="Calibri"/>
        </w:rPr>
        <w:t xml:space="preserve">In the subgroup of children with laboratory confirmed influenza, fewer children on the co-amoxiclav arm re-consulted with clinical deterioration and a statistically non-significant trend towards lower non-medication costs and total costs for participants randomised to co-amoxiclav vs. placebo was observed. This subgroup should be regarded as exploratory only </w:t>
      </w:r>
      <w:r w:rsidRPr="000F70A3">
        <w:rPr>
          <w:rFonts w:eastAsia="Calibri"/>
          <w:highlight w:val="magenta"/>
        </w:rPr>
        <w:t>due to</w:t>
      </w:r>
      <w:r w:rsidRPr="000F70A3">
        <w:rPr>
          <w:rFonts w:eastAsia="Calibri"/>
        </w:rPr>
        <w:t xml:space="preserve"> the very small number of children with laboratory confirmed influenza (37/271).</w:t>
      </w:r>
    </w:p>
    <w:p w14:paraId="330B8AD4" w14:textId="77777777" w:rsidR="000F70A3" w:rsidRPr="000F70A3" w:rsidRDefault="000F70A3" w:rsidP="00DA3216">
      <w:pPr>
        <w:pStyle w:val="53BheadHeadingsHeadingstyles"/>
        <w:rPr>
          <w:rFonts w:eastAsia="Calibri"/>
        </w:rPr>
      </w:pPr>
      <w:r w:rsidRPr="000F70A3">
        <w:rPr>
          <w:rFonts w:eastAsia="Calibri"/>
        </w:rPr>
        <w:t>Strengths and limitations</w:t>
      </w:r>
    </w:p>
    <w:p w14:paraId="5CD9B34B" w14:textId="77777777" w:rsidR="000F70A3" w:rsidRPr="000F70A3" w:rsidRDefault="000F70A3" w:rsidP="00DA3216">
      <w:pPr>
        <w:pStyle w:val="602TextfoTextstylesTextstyles"/>
        <w:rPr>
          <w:rFonts w:eastAsia="Calibri"/>
        </w:rPr>
      </w:pPr>
      <w:r w:rsidRPr="000F70A3">
        <w:rPr>
          <w:rFonts w:eastAsia="Calibri"/>
        </w:rPr>
        <w:t xml:space="preserve">To ensure that our definition of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groups was as comprehensive and evidence based as possible, our systematic review and meta-analysis analysed both published </w:t>
      </w:r>
      <w:r w:rsidRPr="000F70A3">
        <w:rPr>
          <w:rFonts w:eastAsia="Calibri"/>
          <w:highlight w:val="magenta"/>
        </w:rPr>
        <w:t>data</w:t>
      </w:r>
      <w:r w:rsidRPr="000F70A3">
        <w:rPr>
          <w:rFonts w:eastAsia="Calibri"/>
        </w:rPr>
        <w:t xml:space="preserve"> and </w:t>
      </w:r>
      <w:r w:rsidRPr="000F70A3">
        <w:rPr>
          <w:rFonts w:eastAsia="Calibri"/>
          <w:highlight w:val="magenta"/>
        </w:rPr>
        <w:t>data</w:t>
      </w:r>
      <w:r w:rsidRPr="000F70A3">
        <w:rPr>
          <w:rFonts w:eastAsia="Calibri"/>
        </w:rPr>
        <w:t xml:space="preserve"> provided by authors whose published study methods suggested that they had collected but not published the </w:t>
      </w:r>
      <w:r w:rsidRPr="000F70A3">
        <w:rPr>
          <w:rFonts w:eastAsia="Calibri"/>
          <w:highlight w:val="magenta"/>
        </w:rPr>
        <w:t>data</w:t>
      </w:r>
      <w:r w:rsidRPr="000F70A3">
        <w:rPr>
          <w:rFonts w:eastAsia="Calibri"/>
        </w:rPr>
        <w:t xml:space="preserve"> which we required for our analysis. This strategy more than doubled the number of studies from which we were able to obtain </w:t>
      </w:r>
      <w:r w:rsidRPr="000F70A3">
        <w:rPr>
          <w:rFonts w:eastAsia="Calibri"/>
          <w:highlight w:val="magenta"/>
        </w:rPr>
        <w:t>data</w:t>
      </w:r>
      <w:r w:rsidRPr="000F70A3">
        <w:rPr>
          <w:rFonts w:eastAsia="Calibri"/>
        </w:rPr>
        <w:t xml:space="preserve">. Twelve studies published sufficient </w:t>
      </w:r>
      <w:r w:rsidRPr="000F70A3">
        <w:rPr>
          <w:rFonts w:eastAsia="Calibri"/>
          <w:highlight w:val="magenta"/>
        </w:rPr>
        <w:t>data</w:t>
      </w:r>
      <w:r w:rsidRPr="000F70A3">
        <w:rPr>
          <w:rFonts w:eastAsia="Calibri"/>
        </w:rPr>
        <w:t xml:space="preserve"> for us to analyse in their full text manuscripts. In addition, we managed to obtain </w:t>
      </w:r>
      <w:r w:rsidRPr="000F70A3">
        <w:rPr>
          <w:rFonts w:eastAsia="Calibri"/>
          <w:highlight w:val="magenta"/>
        </w:rPr>
        <w:t>data</w:t>
      </w:r>
      <w:r w:rsidRPr="000F70A3">
        <w:rPr>
          <w:rFonts w:eastAsia="Calibri"/>
        </w:rPr>
        <w:t xml:space="preserve"> from a further 18 author groups whose studies had collected but not published relevant </w:t>
      </w:r>
      <w:r w:rsidRPr="000F70A3">
        <w:rPr>
          <w:rFonts w:eastAsia="Calibri"/>
          <w:highlight w:val="magenta"/>
        </w:rPr>
        <w:t>data</w:t>
      </w:r>
      <w:r w:rsidRPr="000F70A3">
        <w:rPr>
          <w:rFonts w:eastAsia="Calibri"/>
        </w:rPr>
        <w:t>.</w:t>
      </w:r>
    </w:p>
    <w:p w14:paraId="26C01AA4" w14:textId="77777777" w:rsidR="000F70A3" w:rsidRPr="000F70A3" w:rsidRDefault="000F70A3" w:rsidP="00DA3216">
      <w:pPr>
        <w:pStyle w:val="602TextfoTextstylesTextstyles"/>
        <w:rPr>
          <w:rFonts w:eastAsia="Calibri"/>
        </w:rPr>
      </w:pPr>
      <w:r w:rsidRPr="000F70A3">
        <w:rPr>
          <w:rFonts w:eastAsia="Calibri"/>
        </w:rPr>
        <w:t xml:space="preserve">For some potential risk factors examined in our systematic review and meta-analysis, we were unable to draw firm conclusions </w:t>
      </w:r>
      <w:r w:rsidRPr="000F70A3">
        <w:rPr>
          <w:rFonts w:eastAsia="Calibri"/>
          <w:highlight w:val="magenta"/>
        </w:rPr>
        <w:t>due to</w:t>
      </w:r>
      <w:r w:rsidRPr="000F70A3">
        <w:rPr>
          <w:rFonts w:eastAsia="Calibri"/>
        </w:rPr>
        <w:t xml:space="preserve"> either a high degree of heterogeneity between different studies or a low number of hospital admissions among children with particular conditions. Although we had access to individual participant </w:t>
      </w:r>
      <w:r w:rsidRPr="000F70A3">
        <w:rPr>
          <w:rFonts w:eastAsia="Calibri"/>
          <w:highlight w:val="magenta"/>
        </w:rPr>
        <w:t>data</w:t>
      </w:r>
      <w:r w:rsidRPr="000F70A3">
        <w:rPr>
          <w:rFonts w:eastAsia="Calibri"/>
        </w:rPr>
        <w:t xml:space="preserve"> for some studies, which allowed us to adjust some analyses for age and presence of multiple conditions, </w:t>
      </w:r>
      <w:r w:rsidRPr="000F70A3">
        <w:rPr>
          <w:rFonts w:eastAsia="Calibri"/>
          <w:highlight w:val="magenta"/>
        </w:rPr>
        <w:t>data</w:t>
      </w:r>
      <w:r w:rsidRPr="000F70A3">
        <w:rPr>
          <w:rFonts w:eastAsia="Calibri"/>
        </w:rPr>
        <w:t xml:space="preserve"> were not available for us to adjust for other potential prognostic factors such as disease severity and vaccination status. </w:t>
      </w:r>
      <w:r w:rsidRPr="000F70A3">
        <w:rPr>
          <w:rFonts w:eastAsia="Calibri"/>
          <w:highlight w:val="magenta"/>
        </w:rPr>
        <w:t>Data</w:t>
      </w:r>
      <w:r w:rsidRPr="000F70A3">
        <w:rPr>
          <w:rFonts w:eastAsia="Calibri"/>
        </w:rPr>
        <w:t xml:space="preserve"> were also mainly obtained from studies conducted in hospital ambulatory care and emergency department settings. This may limit the generalisability of our findings to primary care.</w:t>
      </w:r>
    </w:p>
    <w:p w14:paraId="32CAC99D" w14:textId="77777777" w:rsidR="000F70A3" w:rsidRPr="000F70A3" w:rsidRDefault="000F70A3" w:rsidP="00DA3216">
      <w:pPr>
        <w:pStyle w:val="602TextfoTextstylesTextstyles"/>
        <w:rPr>
          <w:rFonts w:eastAsia="Calibri"/>
        </w:rPr>
      </w:pPr>
      <w:r w:rsidRPr="000F70A3">
        <w:rPr>
          <w:rFonts w:eastAsia="Calibri"/>
        </w:rPr>
        <w:t xml:space="preserve">Our qualitative GP interview study recruited a diverse sample of GPs representing a range of experiences and </w:t>
      </w:r>
      <w:r w:rsidRPr="000F70A3">
        <w:rPr>
          <w:rFonts w:eastAsia="Calibri"/>
          <w:highlight w:val="magenta"/>
        </w:rPr>
        <w:t>practice</w:t>
      </w:r>
      <w:r w:rsidRPr="000F70A3">
        <w:rPr>
          <w:rFonts w:eastAsia="Calibri"/>
        </w:rPr>
        <w:t xml:space="preserve"> characteristics. We also simulated the way in which GPs would gather information during a consultation by making different parts of the case vignette available in stages and adapting the way information was given to the GP according to what they asked for. Although we did not interview </w:t>
      </w:r>
      <w:r w:rsidRPr="000F70A3">
        <w:rPr>
          <w:rFonts w:eastAsia="Calibri"/>
          <w:highlight w:val="magenta"/>
        </w:rPr>
        <w:t>practice</w:t>
      </w:r>
      <w:r w:rsidRPr="000F70A3">
        <w:rPr>
          <w:rFonts w:eastAsia="Calibri"/>
        </w:rPr>
        <w:t xml:space="preserve"> nurses (who sometimes assess minor illness in children), the GPs who took part in our study felt that nurses would be unlikely to have to assess children with ILI if they were known to have underlying co-morbidities. Our qualitative and focus group work with parents and guardians allowed this key stakeholder group to share their views and experiences, which were central to developing our online resource on </w:t>
      </w:r>
      <w:r w:rsidRPr="000F70A3">
        <w:rPr>
          <w:rFonts w:eastAsia="Calibri"/>
          <w:color w:val="00B0F0"/>
          <w:highlight w:val="green"/>
        </w:rPr>
        <w:t>‘</w:t>
      </w:r>
      <w:r w:rsidRPr="000F70A3">
        <w:rPr>
          <w:rFonts w:eastAsia="Calibri"/>
          <w:highlight w:val="green"/>
        </w:rPr>
        <w:t>Flu or flu-like illness in chronically ill or disabled children</w:t>
      </w:r>
      <w:r w:rsidRPr="000F70A3">
        <w:rPr>
          <w:rFonts w:eastAsia="Calibri"/>
          <w:color w:val="00B0F0"/>
          <w:highlight w:val="green"/>
        </w:rPr>
        <w:t>’</w:t>
      </w:r>
      <w:r w:rsidRPr="000F70A3">
        <w:rPr>
          <w:rFonts w:eastAsia="Calibri"/>
        </w:rPr>
        <w:t xml:space="preserve"> on the healthtalk.org website.</w:t>
      </w:r>
    </w:p>
    <w:p w14:paraId="28A5632E" w14:textId="77777777" w:rsidR="000F70A3" w:rsidRPr="000F70A3" w:rsidRDefault="000F70A3" w:rsidP="00DA3216">
      <w:pPr>
        <w:pStyle w:val="602TextfoTextstylesTextstyles"/>
        <w:rPr>
          <w:rFonts w:eastAsia="Calibri"/>
        </w:rPr>
      </w:pPr>
      <w:r w:rsidRPr="000F70A3">
        <w:rPr>
          <w:rFonts w:eastAsia="Calibri"/>
        </w:rPr>
        <w:t xml:space="preserve">The findings of our randomised controlled trial are highly generalisable to community-based health care settings during seasonal influenza periods </w:t>
      </w:r>
      <w:r w:rsidRPr="000F70A3">
        <w:rPr>
          <w:rFonts w:eastAsia="Calibri"/>
          <w:highlight w:val="magenta"/>
        </w:rPr>
        <w:t>due to</w:t>
      </w:r>
      <w:r w:rsidRPr="000F70A3">
        <w:rPr>
          <w:rFonts w:eastAsia="Calibri"/>
        </w:rPr>
        <w:t xml:space="preserve"> our wide geographical coverage, recruitment from primary and other ambulatory care settings, pragmatic ILI case definition, and high retention rate for our primary outcome. Our main limitation was only being able to recruit 271 participants versus our original target sample size of 650 participants. This limited the statistical power of our trial and prevented us from being able to develop and validate our proposed risk scores. Nevertheless, the sample size we recruited was still sufficient to detect a reduction in the primary outcome from 21% (percentage observed in the placebo group) to 6.5% (absolute risk reduction [ARR] 14.5%) with 90% power or 21% to 8% (ARR 13%) with 80% power and 5% two-tailed alpha error. These ARRs are similar to the treatment effect we considered for our target sample size (40% to 26%, 14% ARR), albeit from a lower baseline. A larger sample would have allowed us to estimate our result with greater precision and detect a more conservative treatment effect. However, we would need to consider the clinical importance of a smaller effect size in the context of numbers needed to treat for benefit versus harm.</w:t>
      </w:r>
    </w:p>
    <w:p w14:paraId="6BDA98B3" w14:textId="77777777" w:rsidR="000F70A3" w:rsidRPr="000F70A3" w:rsidRDefault="000F70A3" w:rsidP="00DA3216">
      <w:pPr>
        <w:pStyle w:val="602TextfoTextstylesTextstyles"/>
        <w:rPr>
          <w:rFonts w:eastAsia="Calibri"/>
        </w:rPr>
      </w:pPr>
      <w:r w:rsidRPr="000F70A3">
        <w:rPr>
          <w:rFonts w:eastAsia="Calibri"/>
        </w:rPr>
        <w:t xml:space="preserve">Our trial results may also have been influenced by the low proportion of participants with laboratory-confirmed influenza and bacterial isolates. Only 37/271 children had evidence of laboratory-confirmed influenza (14%). This meant that, although our subgroup analysis in children with laboratory-confirmed influenza found that a lower proportion of children in the co-amoxiclav group re-consulted </w:t>
      </w:r>
      <w:r w:rsidRPr="000F70A3">
        <w:rPr>
          <w:rFonts w:eastAsia="Calibri"/>
          <w:highlight w:val="magenta"/>
        </w:rPr>
        <w:t>due to</w:t>
      </w:r>
      <w:r w:rsidRPr="000F70A3">
        <w:rPr>
          <w:rFonts w:eastAsia="Calibri"/>
        </w:rPr>
        <w:t xml:space="preserve"> clinical deterioration </w:t>
      </w:r>
      <w:r w:rsidRPr="000F70A3">
        <w:rPr>
          <w:rFonts w:eastAsia="Calibri"/>
          <w:highlight w:val="magenta"/>
        </w:rPr>
        <w:t>compared to</w:t>
      </w:r>
      <w:r w:rsidRPr="000F70A3">
        <w:rPr>
          <w:rFonts w:eastAsia="Calibri"/>
        </w:rPr>
        <w:t xml:space="preserve"> the placebo group, this subgroup did not have sufficient statistical power to demonstrate whether this difference was statistically significant. Only 68/271 children had evidence of one or more bacterial isolates (25%). This also had implications for our nested microbiology evaluation, which was also affected by around two-thirds of participants being lost to follow-up after 12 months.</w:t>
      </w:r>
    </w:p>
    <w:p w14:paraId="3C2105AF" w14:textId="77777777" w:rsidR="000F70A3" w:rsidRPr="000F70A3" w:rsidRDefault="000F70A3" w:rsidP="00DA3216">
      <w:pPr>
        <w:pStyle w:val="602TextfoTextstylesTextstyles"/>
        <w:rPr>
          <w:rFonts w:eastAsia="Calibri"/>
        </w:rPr>
      </w:pPr>
      <w:r w:rsidRPr="000F70A3">
        <w:rPr>
          <w:rFonts w:eastAsia="Calibri"/>
        </w:rPr>
        <w:t xml:space="preserve">We also observed considerable loss to follow-up rates for </w:t>
      </w:r>
      <w:r w:rsidRPr="000F70A3">
        <w:rPr>
          <w:rFonts w:eastAsia="Calibri"/>
          <w:highlight w:val="magenta"/>
        </w:rPr>
        <w:t>data</w:t>
      </w:r>
      <w:r w:rsidRPr="000F70A3">
        <w:rPr>
          <w:rFonts w:eastAsia="Calibri"/>
        </w:rPr>
        <w:t xml:space="preserve"> collected from study diaries despite extensive consultation with patient representatives on how to maximise response rates. These consultations led to us to issue four one-week study diaries (instead of a single study diary covering the whole four-week period after study entry) and incorporate telephone calls to all parents and guardians after one week and two weeks to remind them to return their children</w:t>
      </w:r>
      <w:r w:rsidRPr="000F70A3">
        <w:rPr>
          <w:rFonts w:eastAsia="Calibri"/>
          <w:color w:val="00B0F0"/>
        </w:rPr>
        <w:t>’</w:t>
      </w:r>
      <w:r w:rsidRPr="000F70A3">
        <w:rPr>
          <w:rFonts w:eastAsia="Calibri"/>
        </w:rPr>
        <w:t>s study diaries. However, even with these measures, E</w:t>
      </w:r>
      <w:r w:rsidRPr="000F70A3">
        <w:rPr>
          <w:rFonts w:eastAsia="Calibri"/>
          <w:color w:val="00B0F0"/>
        </w:rPr>
        <w:t>Q-5</w:t>
      </w:r>
      <w:r w:rsidRPr="000F70A3">
        <w:rPr>
          <w:rFonts w:eastAsia="Calibri"/>
        </w:rPr>
        <w:t xml:space="preserve">D-Y </w:t>
      </w:r>
      <w:r w:rsidRPr="000F70A3">
        <w:rPr>
          <w:rFonts w:eastAsia="Calibri"/>
          <w:highlight w:val="magenta"/>
        </w:rPr>
        <w:t>data</w:t>
      </w:r>
      <w:r w:rsidRPr="000F70A3">
        <w:rPr>
          <w:rFonts w:eastAsia="Calibri"/>
        </w:rPr>
        <w:t xml:space="preserve"> were only available from around one-quarter of participants at day 28. These </w:t>
      </w:r>
      <w:r w:rsidRPr="000F70A3">
        <w:rPr>
          <w:rFonts w:eastAsia="Calibri"/>
          <w:highlight w:val="magenta"/>
        </w:rPr>
        <w:t>data</w:t>
      </w:r>
      <w:r w:rsidRPr="000F70A3">
        <w:rPr>
          <w:rFonts w:eastAsia="Calibri"/>
        </w:rPr>
        <w:t xml:space="preserve"> were not sufficient to conduct a full cost-effectiveness analysis.</w:t>
      </w:r>
    </w:p>
    <w:p w14:paraId="59E3F1C0" w14:textId="77777777" w:rsidR="000F70A3" w:rsidRPr="000F70A3" w:rsidRDefault="000F70A3" w:rsidP="00DA3216">
      <w:pPr>
        <w:pStyle w:val="53BheadHeadingsHeadingstyles"/>
        <w:rPr>
          <w:rFonts w:eastAsia="Calibri"/>
        </w:rPr>
      </w:pPr>
      <w:r w:rsidRPr="000F70A3">
        <w:rPr>
          <w:rFonts w:eastAsia="Calibri"/>
        </w:rPr>
        <w:t xml:space="preserve">Implications for clinical </w:t>
      </w:r>
      <w:r w:rsidRPr="000F70A3">
        <w:rPr>
          <w:rFonts w:eastAsia="Calibri"/>
          <w:highlight w:val="magenta"/>
        </w:rPr>
        <w:t>practice</w:t>
      </w:r>
    </w:p>
    <w:p w14:paraId="18BE312A" w14:textId="77777777" w:rsidR="000F70A3" w:rsidRPr="000F70A3" w:rsidRDefault="000F70A3" w:rsidP="00DA3216">
      <w:pPr>
        <w:pStyle w:val="602TextfoTextstylesTextstyles"/>
        <w:rPr>
          <w:rFonts w:eastAsia="Calibri"/>
        </w:rPr>
      </w:pPr>
      <w:r w:rsidRPr="000F70A3">
        <w:rPr>
          <w:rFonts w:eastAsia="Calibri"/>
        </w:rPr>
        <w:t xml:space="preserve">Our systematic review identified premature birth as a new risk factor for complications from influenza or ILI, particularly in children under 2 years of age. This risk factor is not included in existing guidelines on risk factors from the UK </w:t>
      </w:r>
      <w:r w:rsidRPr="000F70A3">
        <w:rPr>
          <w:rFonts w:eastAsia="Calibri"/>
          <w:color w:val="00B0F0"/>
        </w:rPr>
        <w:t>Department of Health and Social Care</w:t>
      </w:r>
      <w:r w:rsidRPr="000F70A3">
        <w:rPr>
          <w:rFonts w:eastAsia="Calibri"/>
        </w:rPr>
        <w:t xml:space="preserve">, the US Advisory Committee on </w:t>
      </w:r>
      <w:r w:rsidRPr="000F70A3">
        <w:rPr>
          <w:rFonts w:eastAsia="Calibri"/>
          <w:color w:val="00B0F0"/>
        </w:rPr>
        <w:t>Immunisation</w:t>
      </w:r>
      <w:r w:rsidRPr="000F70A3">
        <w:rPr>
          <w:rFonts w:eastAsia="Calibri"/>
        </w:rPr>
        <w:t xml:space="preserve"> Practices (ACIP) and WHO, which are not specific to paediatric populations. We also found no evidence that certain conditions identified as being risk factors in adults, including obesity, cardiac, respiratory and renal conditions, were also risk factors in children. This may have been </w:t>
      </w:r>
      <w:r w:rsidRPr="000F70A3">
        <w:rPr>
          <w:rFonts w:eastAsia="Calibri"/>
          <w:highlight w:val="magenta"/>
        </w:rPr>
        <w:t>due to</w:t>
      </w:r>
      <w:r w:rsidRPr="000F70A3">
        <w:rPr>
          <w:rFonts w:eastAsia="Calibri"/>
        </w:rPr>
        <w:t xml:space="preserve"> these conditions being associated with less advanced disease in children than in adults and highlights the importance of clinicians being aware of which risk factors are relevant to children specifically.</w:t>
      </w:r>
    </w:p>
    <w:p w14:paraId="5370C6A3" w14:textId="77777777" w:rsidR="000F70A3" w:rsidRPr="000F70A3" w:rsidRDefault="000F70A3" w:rsidP="00DA3216">
      <w:pPr>
        <w:pStyle w:val="602TextfoTextstylesTextstyles"/>
        <w:rPr>
          <w:rFonts w:eastAsia="Calibri"/>
          <w:b/>
        </w:rPr>
      </w:pPr>
      <w:r w:rsidRPr="000F70A3">
        <w:rPr>
          <w:rFonts w:eastAsia="Calibri"/>
        </w:rPr>
        <w:t xml:space="preserve">Although previously published trial findings have reported evidence of clinical benefit from antibiotic treatment in patients with ILI during an influenza epidemic, the findings of our randomised controlled trial do not support immediate antibiotic use in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presenting with ILI in primary or ambulatory care settings during seasonal influenza periods.</w:t>
      </w:r>
      <w:r w:rsidRPr="000F70A3">
        <w:rPr>
          <w:rFonts w:eastAsia="Calibri"/>
          <w:b/>
        </w:rPr>
        <w:t xml:space="preserve"> </w:t>
      </w:r>
      <w:r w:rsidRPr="000F70A3">
        <w:rPr>
          <w:rFonts w:eastAsia="Calibri"/>
        </w:rPr>
        <w:t>Although our programme of research did not find evidence of early co-amoxiclav treatment being associated with any safety concerns or changes in respiratory bacterial carriage or antibiotic resistance, we did not find evidence of clinical or economic benefit in our study population either.</w:t>
      </w:r>
    </w:p>
    <w:p w14:paraId="288145C4" w14:textId="77777777" w:rsidR="000F70A3" w:rsidRPr="000F70A3" w:rsidRDefault="000F70A3" w:rsidP="00DA3216">
      <w:pPr>
        <w:pStyle w:val="602TextfoTextstylesTextstyles"/>
        <w:rPr>
          <w:rFonts w:eastAsia="Calibri"/>
          <w:b/>
        </w:rPr>
      </w:pPr>
      <w:r w:rsidRPr="000F70A3">
        <w:rPr>
          <w:rFonts w:eastAsia="Calibri"/>
        </w:rPr>
        <w:t xml:space="preserve">In the absence of further evidence to underpin quantitative risk assessments in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with ILI, the global assessments already implemented by GPs are still valuable and may also inform other aspects of clinical management such as follow-up and safety-netting.</w:t>
      </w:r>
      <w:r w:rsidRPr="000F70A3">
        <w:rPr>
          <w:rFonts w:eastAsia="Calibri"/>
          <w:b/>
        </w:rPr>
        <w:t xml:space="preserve"> </w:t>
      </w:r>
      <w:r w:rsidRPr="000F70A3">
        <w:rPr>
          <w:rFonts w:eastAsia="Calibri"/>
        </w:rPr>
        <w:t xml:space="preserve">Clinicians may also consider using point of care testing for respiratory virus and bacterial infections in settings where this is available to guide antibiotic prescribing decisions, particularly in cases where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present with more than a simple cold but no evidence of an established bacterial infections which would require immediate antibiotics.</w:t>
      </w:r>
    </w:p>
    <w:p w14:paraId="025E2EEC" w14:textId="77777777" w:rsidR="000F70A3" w:rsidRPr="000F70A3" w:rsidRDefault="000F70A3" w:rsidP="00DA3216">
      <w:pPr>
        <w:pStyle w:val="53BheadHeadingsHeadingstyles"/>
        <w:rPr>
          <w:rFonts w:eastAsia="Calibri"/>
        </w:rPr>
      </w:pPr>
      <w:r w:rsidRPr="000F70A3">
        <w:rPr>
          <w:rFonts w:eastAsia="Calibri"/>
        </w:rPr>
        <w:t>Implications for future research</w:t>
      </w:r>
    </w:p>
    <w:p w14:paraId="723AC87B" w14:textId="77777777" w:rsidR="000F70A3" w:rsidRPr="000F70A3" w:rsidRDefault="000F70A3" w:rsidP="00DA3216">
      <w:pPr>
        <w:pStyle w:val="602TextfoTextstylesTextstyles"/>
        <w:rPr>
          <w:rFonts w:eastAsia="Calibri"/>
        </w:rPr>
      </w:pPr>
      <w:r w:rsidRPr="000F70A3">
        <w:rPr>
          <w:rFonts w:eastAsia="Calibri"/>
        </w:rPr>
        <w:t>Future research should aim to:</w:t>
      </w:r>
    </w:p>
    <w:p w14:paraId="542A1218" w14:textId="72E82E7C" w:rsidR="000F70A3" w:rsidRPr="000F70A3" w:rsidRDefault="000F70A3" w:rsidP="00DA3216">
      <w:pPr>
        <w:pStyle w:val="621TextnumberedlistTextstylesTextstyles"/>
        <w:rPr>
          <w:rFonts w:eastAsia="Calibri"/>
        </w:rPr>
      </w:pPr>
      <w:r w:rsidRPr="000F70A3">
        <w:rPr>
          <w:rFonts w:eastAsia="Calibri"/>
        </w:rPr>
        <w:t>Examine risk factors for complications of influenza or ILI in children presenting in primary care rather than in hospital-based ambulatory care settings.</w:t>
      </w:r>
    </w:p>
    <w:p w14:paraId="6D04F36A" w14:textId="24881F2C" w:rsidR="000F70A3" w:rsidRPr="000F70A3" w:rsidRDefault="000F70A3" w:rsidP="00DA3216">
      <w:pPr>
        <w:pStyle w:val="621TextnumberedlistTextstylesTextstyles"/>
        <w:rPr>
          <w:rFonts w:eastAsia="Calibri"/>
        </w:rPr>
      </w:pPr>
      <w:r w:rsidRPr="000F70A3">
        <w:rPr>
          <w:rFonts w:eastAsia="Calibri"/>
        </w:rPr>
        <w:t xml:space="preserve">Examine premature birth as a risk factor for complications of influenza or ILI in children in more detail, including quantifying risk in children of different ages and </w:t>
      </w:r>
      <w:r w:rsidRPr="000F70A3">
        <w:rPr>
          <w:rFonts w:eastAsia="Calibri"/>
          <w:highlight w:val="magenta"/>
        </w:rPr>
        <w:t>born</w:t>
      </w:r>
      <w:r w:rsidRPr="000F70A3">
        <w:rPr>
          <w:rFonts w:eastAsia="Calibri"/>
        </w:rPr>
        <w:t xml:space="preserve"> after different gestational periods.</w:t>
      </w:r>
    </w:p>
    <w:p w14:paraId="71FB1B65" w14:textId="7F909A6E" w:rsidR="000F70A3" w:rsidRPr="000F70A3" w:rsidRDefault="000F70A3" w:rsidP="00DA3216">
      <w:pPr>
        <w:pStyle w:val="621TextnumberedlistTextstylesTextstyles"/>
        <w:rPr>
          <w:rFonts w:eastAsia="Calibri"/>
        </w:rPr>
      </w:pPr>
      <w:r w:rsidRPr="000F70A3">
        <w:rPr>
          <w:rFonts w:eastAsia="Calibri"/>
        </w:rPr>
        <w:t>Develop more comprehensive risk assessment tools which allow health care professionals to provide more personalised estimates of risk, including risks associated with different types of underlying condition, multiple co-morbidities and other relevant prognostic factors.</w:t>
      </w:r>
    </w:p>
    <w:p w14:paraId="4956F57D" w14:textId="26785114" w:rsidR="000F70A3" w:rsidRPr="000F70A3" w:rsidRDefault="000F70A3" w:rsidP="00DA3216">
      <w:pPr>
        <w:pStyle w:val="621TextnumberedlistTextstylesTextstyles"/>
        <w:rPr>
          <w:rFonts w:eastAsia="Calibri"/>
        </w:rPr>
      </w:pPr>
      <w:r w:rsidRPr="000F70A3">
        <w:rPr>
          <w:rFonts w:eastAsia="Calibri"/>
        </w:rPr>
        <w:t>Develop simple, clear risk assessment tools to inform parental decisions about whether to seek medical advice for a child with ILI when that child is known to have one or more underlying potential risk factors.</w:t>
      </w:r>
    </w:p>
    <w:p w14:paraId="2814A9BB" w14:textId="761F3663" w:rsidR="000F70A3" w:rsidRPr="000F70A3" w:rsidRDefault="000F70A3" w:rsidP="00DA3216">
      <w:pPr>
        <w:pStyle w:val="621TextnumberedlistTextstylesTextstyles"/>
        <w:rPr>
          <w:rFonts w:eastAsia="Calibri"/>
        </w:rPr>
      </w:pPr>
      <w:r w:rsidRPr="000F70A3">
        <w:rPr>
          <w:rFonts w:eastAsia="Calibri"/>
        </w:rPr>
        <w:t xml:space="preserve">Determine whether strategies to identify children who are more likely to have laboratory-confirmed influenza might help support more clinically and cost-effective use of antibiotics in </w:t>
      </w:r>
      <w:r w:rsidRPr="000F70A3">
        <w:rPr>
          <w:rFonts w:eastAsia="Calibri"/>
          <w:color w:val="00B0F0"/>
        </w:rPr>
        <w:t>‘</w:t>
      </w:r>
      <w:r w:rsidRPr="000F70A3">
        <w:rPr>
          <w:rFonts w:eastAsia="Calibri"/>
        </w:rPr>
        <w:t>at risk</w:t>
      </w:r>
      <w:r w:rsidRPr="000F70A3">
        <w:rPr>
          <w:rFonts w:eastAsia="Calibri"/>
          <w:color w:val="00B0F0"/>
        </w:rPr>
        <w:t>’</w:t>
      </w:r>
      <w:r w:rsidRPr="000F70A3">
        <w:rPr>
          <w:rFonts w:eastAsia="Calibri"/>
        </w:rPr>
        <w:t xml:space="preserve"> children. Such strategies may include consideration of local surveillance </w:t>
      </w:r>
      <w:r w:rsidRPr="000F70A3">
        <w:rPr>
          <w:rFonts w:eastAsia="Calibri"/>
          <w:highlight w:val="magenta"/>
        </w:rPr>
        <w:t>data</w:t>
      </w:r>
      <w:r w:rsidRPr="000F70A3">
        <w:rPr>
          <w:rFonts w:eastAsia="Calibri"/>
        </w:rPr>
        <w:t xml:space="preserve"> or use of point of care testing for influenza and other potentially pathogenic respiratory tract infections.</w:t>
      </w:r>
    </w:p>
    <w:p w14:paraId="3BC0454C" w14:textId="28D939EB" w:rsidR="000F70A3" w:rsidRPr="000F70A3" w:rsidRDefault="000F70A3" w:rsidP="00DA3216">
      <w:pPr>
        <w:pStyle w:val="6211TextnumberedlistlastTextstylesTextstyles"/>
        <w:rPr>
          <w:rFonts w:eastAsia="Calibri"/>
        </w:rPr>
      </w:pPr>
      <w:r w:rsidRPr="000F70A3">
        <w:rPr>
          <w:rFonts w:eastAsia="Calibri"/>
        </w:rPr>
        <w:t>Identify efficient strategies for opportunistically recruiting a larger sample of patients with influenza which can be rapidly mobilised and implemented during a future influenza epidemic or pandemic.</w:t>
      </w:r>
    </w:p>
    <w:p w14:paraId="5A2F50B2" w14:textId="0FFAD1C4" w:rsidR="000F70A3" w:rsidRPr="000F70A3" w:rsidRDefault="000F70A3" w:rsidP="00DA3216">
      <w:pPr>
        <w:pStyle w:val="43PrelimtitleHeadingsHeadingstyles"/>
        <w:rPr>
          <w:rFonts w:eastAsia="DengXian Light"/>
        </w:rPr>
      </w:pPr>
      <w:bookmarkStart w:id="33" w:name="_Toc106099134"/>
      <w:r w:rsidRPr="000F70A3">
        <w:rPr>
          <w:rFonts w:eastAsia="DengXian Light"/>
        </w:rPr>
        <w:t>Acknowledgements</w:t>
      </w:r>
      <w:bookmarkEnd w:id="33"/>
    </w:p>
    <w:p w14:paraId="64379F91" w14:textId="77777777" w:rsidR="000F70A3" w:rsidRPr="000F70A3" w:rsidRDefault="000F70A3" w:rsidP="00DA3216">
      <w:pPr>
        <w:pStyle w:val="52AheadHeadingsHeadingstyles"/>
      </w:pPr>
      <w:r w:rsidRPr="000F70A3">
        <w:t>Contribution of Authors</w:t>
      </w:r>
    </w:p>
    <w:p w14:paraId="44F174E3" w14:textId="77777777" w:rsidR="000F70A3" w:rsidRPr="000F70A3" w:rsidRDefault="000F70A3" w:rsidP="00DA3216">
      <w:pPr>
        <w:pStyle w:val="602TextfoTextstylesTextstyles"/>
      </w:pPr>
      <w:r w:rsidRPr="000F70A3">
        <w:t xml:space="preserve">Dr Kay Wang (NIHR Postdoctoral Fellow, Primary Care) acted as Oxford programme </w:t>
      </w:r>
      <w:r w:rsidRPr="000F70A3">
        <w:rPr>
          <w:highlight w:val="magenta"/>
        </w:rPr>
        <w:t>lead</w:t>
      </w:r>
      <w:r w:rsidRPr="000F70A3">
        <w:t xml:space="preserve"> and </w:t>
      </w:r>
      <w:r w:rsidRPr="000F70A3">
        <w:rPr>
          <w:highlight w:val="magenta"/>
        </w:rPr>
        <w:t>lead</w:t>
      </w:r>
      <w:r w:rsidRPr="000F70A3">
        <w:t xml:space="preserve"> for work package c (clinical trial), she had input to all other work packages and aided in the preparation of the final report.</w:t>
      </w:r>
    </w:p>
    <w:p w14:paraId="7E1E01ED" w14:textId="77777777" w:rsidR="000F70A3" w:rsidRPr="000F70A3" w:rsidRDefault="000F70A3" w:rsidP="00DA3216">
      <w:pPr>
        <w:pStyle w:val="602TextfoTextstylesTextstyles"/>
      </w:pPr>
      <w:r w:rsidRPr="000F70A3">
        <w:t>Dr Sharon Tonner (Infectious Disease Clinical Trial Manager) acted as clinical trial manager from 2017 and as programme manager from 2018 until close, she wrote overarching sections, work package a and work package b of the final report and wrote the initial draft of final report.</w:t>
      </w:r>
    </w:p>
    <w:p w14:paraId="603CDCA7" w14:textId="77777777" w:rsidR="000F70A3" w:rsidRPr="000F70A3" w:rsidRDefault="000F70A3" w:rsidP="00DA3216">
      <w:pPr>
        <w:pStyle w:val="602TextfoTextstylesTextstyles"/>
      </w:pPr>
      <w:r w:rsidRPr="000F70A3">
        <w:t xml:space="preserve">Professor Malcolm G. Semple (Professor of Child Health and Outbreak Medicine) acted as work package d (microbiology) </w:t>
      </w:r>
      <w:r w:rsidRPr="000F70A3">
        <w:rPr>
          <w:highlight w:val="magenta"/>
        </w:rPr>
        <w:t>lead</w:t>
      </w:r>
      <w:r w:rsidRPr="000F70A3">
        <w:t xml:space="preserve"> and oversaw conduct, analysis and reporting of this work package for the final report.</w:t>
      </w:r>
    </w:p>
    <w:p w14:paraId="19E9E0BE" w14:textId="77777777" w:rsidR="000F70A3" w:rsidRPr="000F70A3" w:rsidRDefault="000F70A3" w:rsidP="00DA3216">
      <w:pPr>
        <w:pStyle w:val="602TextfoTextstylesTextstyles"/>
      </w:pPr>
      <w:r w:rsidRPr="000F70A3">
        <w:t xml:space="preserve">Dr Jane Wolstenholme (Associate Professor of Health Economics) acted as work package e.ii (health economics) </w:t>
      </w:r>
      <w:r w:rsidRPr="000F70A3">
        <w:rPr>
          <w:highlight w:val="magenta"/>
        </w:rPr>
        <w:t>lead</w:t>
      </w:r>
      <w:r w:rsidRPr="000F70A3">
        <w:t xml:space="preserve"> and oversaw conduct, analysis and reporting of this work package for the final report.</w:t>
      </w:r>
    </w:p>
    <w:p w14:paraId="3C5F85FB" w14:textId="77777777" w:rsidR="000F70A3" w:rsidRPr="000F70A3" w:rsidRDefault="000F70A3" w:rsidP="00DA3216">
      <w:pPr>
        <w:pStyle w:val="602TextfoTextstylesTextstyles"/>
      </w:pPr>
      <w:r w:rsidRPr="000F70A3">
        <w:t xml:space="preserve">Professor Rafael Perera (Professor of Medical Statistics) acted as work package e.i (Risk Reduction scores) </w:t>
      </w:r>
      <w:r w:rsidRPr="000F70A3">
        <w:rPr>
          <w:highlight w:val="magenta"/>
        </w:rPr>
        <w:t>lead</w:t>
      </w:r>
      <w:r w:rsidRPr="000F70A3">
        <w:t xml:space="preserve"> and oversaw conduct, analysis and reporting of this work package for the final report.</w:t>
      </w:r>
    </w:p>
    <w:p w14:paraId="37A3C76D" w14:textId="77777777" w:rsidR="000F70A3" w:rsidRPr="000F70A3" w:rsidRDefault="000F70A3" w:rsidP="00DA3216">
      <w:pPr>
        <w:pStyle w:val="602TextfoTextstylesTextstyles"/>
      </w:pPr>
      <w:r w:rsidRPr="000F70A3">
        <w:t>Professor Anthony Harnden (Professor of Primary Care), acted as programme chief investigator and oversaw conduct and reporting for all work packages and preparation of final report.</w:t>
      </w:r>
    </w:p>
    <w:p w14:paraId="212660E3" w14:textId="77777777" w:rsidR="000F70A3" w:rsidRPr="000F70A3" w:rsidRDefault="000F70A3" w:rsidP="00DA3216">
      <w:pPr>
        <w:pStyle w:val="602TextfoTextstylesTextstyles"/>
      </w:pPr>
      <w:r w:rsidRPr="000F70A3">
        <w:t>The authors would like to thank the following for their contribution to the preparation of this report:</w:t>
      </w:r>
    </w:p>
    <w:p w14:paraId="585FB875" w14:textId="77777777" w:rsidR="000F70A3" w:rsidRPr="000F70A3" w:rsidRDefault="000F70A3" w:rsidP="00DA3216">
      <w:pPr>
        <w:pStyle w:val="602TextfoTextstylesTextstyles"/>
      </w:pPr>
      <w:r w:rsidRPr="000F70A3">
        <w:t xml:space="preserve">Our Programme Oversight Committee members, (Professor Willie Hamilton, Professor Judy Breuer, Professor Maureen Baker, Robert Newby) and ARCHIE Trial </w:t>
      </w:r>
      <w:r w:rsidRPr="000F70A3">
        <w:rPr>
          <w:highlight w:val="magenta"/>
        </w:rPr>
        <w:t>Data</w:t>
      </w:r>
      <w:r w:rsidRPr="000F70A3">
        <w:t xml:space="preserve"> and Safety Monitoring Committee (Professor Lorcan McGarvey, Mike Bradburn, Professor Surinder Birring, Professor Nick Francis)</w:t>
      </w:r>
    </w:p>
    <w:p w14:paraId="6B345218" w14:textId="77777777" w:rsidR="000F70A3" w:rsidRPr="000F70A3" w:rsidRDefault="000F70A3" w:rsidP="00DA3216">
      <w:pPr>
        <w:pStyle w:val="602TextfoTextstylesTextstyles"/>
      </w:pPr>
      <w:r w:rsidRPr="000F70A3">
        <w:t>We would also like to thank Professor Sue Mallett and Professor Sue Ziebland for the oversight of the conduct, analysis and outputs of work package a and work package b respectively.</w:t>
      </w:r>
    </w:p>
    <w:p w14:paraId="513E4AA5" w14:textId="77777777" w:rsidR="000F70A3" w:rsidRPr="000F70A3" w:rsidRDefault="000F70A3" w:rsidP="00DA3216">
      <w:pPr>
        <w:pStyle w:val="602TextfoTextstylesTextstyles"/>
      </w:pPr>
      <w:r w:rsidRPr="000F70A3">
        <w:t xml:space="preserve">We would like to thank ARCHIE Study Investigators for their support with the conduct of the clinical trial: Professor Michael Moore, Professor Alastair D Hay, Tricia Carver, Professor Ly-Mee Yu, Professor </w:t>
      </w:r>
      <w:r w:rsidRPr="000F70A3">
        <w:rPr>
          <w:color w:val="0070C0"/>
          <w:highlight w:val="yellow"/>
        </w:rPr>
        <w:t>Paul Little</w:t>
      </w:r>
      <w:r w:rsidRPr="000F70A3">
        <w:t xml:space="preserve">, Professor </w:t>
      </w:r>
      <w:r w:rsidRPr="000F70A3">
        <w:rPr>
          <w:color w:val="FF00FF"/>
          <w:highlight w:val="yellow"/>
        </w:rPr>
        <w:t>Andrew Farmer</w:t>
      </w:r>
      <w:r w:rsidRPr="000F70A3">
        <w:t xml:space="preserve"> and Professor Christopher Butler, we additionally thank Professor Butler for acting as Programme Chief Investigator during Professor Harnden</w:t>
      </w:r>
      <w:r w:rsidRPr="000F70A3">
        <w:rPr>
          <w:color w:val="00B0F0"/>
        </w:rPr>
        <w:t>’</w:t>
      </w:r>
      <w:r w:rsidRPr="000F70A3">
        <w:t>s 2014</w:t>
      </w:r>
      <w:r w:rsidRPr="000F70A3">
        <w:rPr>
          <w:color w:val="00B0F0"/>
        </w:rPr>
        <w:t>–2</w:t>
      </w:r>
      <w:r w:rsidRPr="000F70A3">
        <w:t>015 sabbatical. We would also like to thank our regional trial co-ordinators Lyn Liddiard, Tammy Thomas, Clare McIntyre and staff at the Nuffield Department of Primary Care Health Sciences Clinical Trials Unit, David Judge (Programmer), Jenna Grabey (</w:t>
      </w:r>
      <w:r w:rsidRPr="000F70A3">
        <w:rPr>
          <w:highlight w:val="magenta"/>
        </w:rPr>
        <w:t>Data</w:t>
      </w:r>
      <w:r w:rsidRPr="000F70A3">
        <w:t xml:space="preserve"> Manager), Sonya Beecher (Trial Co-ordinator), Dr Jill Mollison (Statistics) and Ushma Galal (Statistics).</w:t>
      </w:r>
    </w:p>
    <w:p w14:paraId="5DC27362" w14:textId="77777777" w:rsidR="000F70A3" w:rsidRPr="000F70A3" w:rsidRDefault="000F70A3" w:rsidP="00DA3216">
      <w:pPr>
        <w:pStyle w:val="602TextfoTextstylesTextstyles"/>
      </w:pPr>
      <w:r w:rsidRPr="000F70A3">
        <w:t xml:space="preserve">The research team acknowledges the support of the National Institute for Health Research Clinical Research Network (NIHR CRN). We thank Mandy Wan (Paediatric Research Pharmacist, NIHR CRN Children </w:t>
      </w:r>
      <w:r w:rsidRPr="000F70A3">
        <w:rPr>
          <w:highlight w:val="magenta"/>
        </w:rPr>
        <w:t>speciality</w:t>
      </w:r>
      <w:r w:rsidRPr="000F70A3">
        <w:t>) for her support and guidance regarding trial medication, from procurement to disposal and Dan Doran-Richards for contributing to the development of our study website, communications strategy and other study-related publicity materials.</w:t>
      </w:r>
    </w:p>
    <w:p w14:paraId="07D14F78" w14:textId="77777777" w:rsidR="000F70A3" w:rsidRPr="000F70A3" w:rsidRDefault="000F70A3" w:rsidP="00DA3216">
      <w:pPr>
        <w:pStyle w:val="602TextfoTextstylesTextstyles"/>
      </w:pPr>
      <w:r w:rsidRPr="000F70A3">
        <w:t xml:space="preserve">We also thank Dr Helen Ashdown for her contribution towards the systematic review of work package a and for conducting the GP interviews in work package b. We thank Dr Oliver van Hecke for his assistance with monitoring re-consultation </w:t>
      </w:r>
      <w:r w:rsidRPr="000F70A3">
        <w:rPr>
          <w:highlight w:val="magenta"/>
        </w:rPr>
        <w:t>data</w:t>
      </w:r>
      <w:r w:rsidRPr="000F70A3">
        <w:t xml:space="preserve"> extracted from medical records in work package c and for his contribution to work package d via his outputs on issues surrounding antimicrobial resistance. We thank Dr Ines Rombach for her contribution to the analysis and reporting of work package e.i. Additionally we would like to thank Dr Ulla Raisanen for kind permission to reproduce </w:t>
      </w:r>
      <w:r w:rsidRPr="000F70A3">
        <w:rPr>
          <w:i/>
          <w:color w:val="FF0000"/>
        </w:rPr>
        <w:t>Figure 4</w:t>
      </w:r>
      <w:r w:rsidRPr="000F70A3">
        <w:t>.</w:t>
      </w:r>
    </w:p>
    <w:p w14:paraId="03E27268" w14:textId="77777777" w:rsidR="000F70A3" w:rsidRPr="000F70A3" w:rsidRDefault="000F70A3" w:rsidP="00DA3216">
      <w:pPr>
        <w:pStyle w:val="602TextfoTextstylesTextstyles"/>
      </w:pPr>
      <w:r w:rsidRPr="000F70A3">
        <w:t xml:space="preserve">Last but not least, we thank all the health care professionals, general </w:t>
      </w:r>
      <w:r w:rsidRPr="000F70A3">
        <w:rPr>
          <w:highlight w:val="magenta"/>
        </w:rPr>
        <w:t>practice</w:t>
      </w:r>
      <w:r w:rsidRPr="000F70A3">
        <w:t xml:space="preserve"> and hospital staff, children and parents/guardians who participated across all work packages.</w:t>
      </w:r>
    </w:p>
    <w:p w14:paraId="214BC205" w14:textId="77777777" w:rsidR="000F70A3" w:rsidRPr="000F70A3" w:rsidRDefault="000F70A3" w:rsidP="00DA3216">
      <w:pPr>
        <w:pStyle w:val="52AheadHeadingsHeadingstyles"/>
      </w:pPr>
      <w:r w:rsidRPr="000F70A3">
        <w:rPr>
          <w:highlight w:val="magenta"/>
        </w:rPr>
        <w:t>Data</w:t>
      </w:r>
      <w:r w:rsidRPr="000F70A3">
        <w:t xml:space="preserve"> Sharing</w:t>
      </w:r>
    </w:p>
    <w:p w14:paraId="725F032B" w14:textId="77777777" w:rsidR="000F70A3" w:rsidRPr="000F70A3" w:rsidRDefault="000F70A3" w:rsidP="00DA3216">
      <w:pPr>
        <w:pStyle w:val="602TextfoTextstylesTextstyles"/>
        <w:rPr>
          <w:rFonts w:eastAsia="Calibri"/>
        </w:rPr>
      </w:pPr>
      <w:r w:rsidRPr="000F70A3">
        <w:rPr>
          <w:rFonts w:eastAsia="Calibri"/>
        </w:rPr>
        <w:t xml:space="preserve">The trial protocol, trial statistical analysis plan and microbiology statistical analysis plan, and de-identified participant level </w:t>
      </w:r>
      <w:r w:rsidRPr="000F70A3">
        <w:rPr>
          <w:rFonts w:eastAsia="Calibri"/>
          <w:highlight w:val="magenta"/>
        </w:rPr>
        <w:t>data</w:t>
      </w:r>
      <w:r w:rsidRPr="000F70A3">
        <w:rPr>
          <w:rFonts w:eastAsia="Calibri"/>
        </w:rPr>
        <w:t xml:space="preserve"> collected for the trial are available on request. Research </w:t>
      </w:r>
      <w:r w:rsidRPr="000F70A3">
        <w:rPr>
          <w:rFonts w:eastAsia="Calibri"/>
          <w:highlight w:val="magenta"/>
        </w:rPr>
        <w:t>data</w:t>
      </w:r>
      <w:r w:rsidRPr="000F70A3">
        <w:rPr>
          <w:rFonts w:eastAsia="Calibri"/>
        </w:rPr>
        <w:t xml:space="preserve"> requests should be submitted to information.guardian@phc.ox.ac.uk for consideration by the research team.</w:t>
      </w:r>
    </w:p>
    <w:p w14:paraId="42098228" w14:textId="77777777" w:rsidR="000F70A3" w:rsidRPr="000F70A3" w:rsidRDefault="000F70A3" w:rsidP="00DA3216">
      <w:pPr>
        <w:pStyle w:val="602TextfoTextstylesTextstyles"/>
      </w:pPr>
      <w:r w:rsidRPr="000F70A3">
        <w:t xml:space="preserve">This work uses </w:t>
      </w:r>
      <w:r w:rsidRPr="000F70A3">
        <w:rPr>
          <w:highlight w:val="magenta"/>
        </w:rPr>
        <w:t>data</w:t>
      </w:r>
      <w:r w:rsidRPr="000F70A3">
        <w:t xml:space="preserve"> provided by patients and collected by the NHS as part of their care and support. Using patient </w:t>
      </w:r>
      <w:r w:rsidRPr="000F70A3">
        <w:rPr>
          <w:color w:val="00B0F0"/>
          <w:highlight w:val="magenta"/>
        </w:rPr>
        <w:t>data</w:t>
      </w:r>
      <w:r w:rsidRPr="000F70A3">
        <w:rPr>
          <w:color w:val="00B0F0"/>
        </w:rPr>
        <w:t xml:space="preserve"> are</w:t>
      </w:r>
      <w:r w:rsidRPr="000F70A3">
        <w:t xml:space="preserve"> vital to improve health and care for everyone. There is huge potential to make better use of information from people</w:t>
      </w:r>
      <w:r w:rsidRPr="000F70A3">
        <w:rPr>
          <w:color w:val="00B0F0"/>
        </w:rPr>
        <w:t>’</w:t>
      </w:r>
      <w:r w:rsidRPr="000F70A3">
        <w:t xml:space="preserve">s patient records, to understand more about disease, develop new treatments, monitor safety, and plan NHS services. Patient </w:t>
      </w:r>
      <w:r w:rsidRPr="000F70A3">
        <w:rPr>
          <w:highlight w:val="magenta"/>
        </w:rPr>
        <w:t>data</w:t>
      </w:r>
      <w:r w:rsidRPr="000F70A3">
        <w:t xml:space="preserve"> should be kept safe and secure, to protect everyone</w:t>
      </w:r>
      <w:r w:rsidRPr="000F70A3">
        <w:rPr>
          <w:color w:val="00B0F0"/>
        </w:rPr>
        <w:t>’</w:t>
      </w:r>
      <w:r w:rsidRPr="000F70A3">
        <w:t>s privacy, and it</w:t>
      </w:r>
      <w:r w:rsidRPr="000F70A3">
        <w:rPr>
          <w:color w:val="00B0F0"/>
        </w:rPr>
        <w:t>’</w:t>
      </w:r>
      <w:r w:rsidRPr="000F70A3">
        <w:t>s important that there are safeguards to make sure that it is stored and used responsibly.</w:t>
      </w:r>
    </w:p>
    <w:p w14:paraId="01D303FD" w14:textId="77777777" w:rsidR="000F70A3" w:rsidRPr="000F70A3" w:rsidRDefault="000F70A3" w:rsidP="00DA3216">
      <w:pPr>
        <w:pStyle w:val="602TextfoTextstylesTextstyles"/>
        <w:rPr>
          <w:color w:val="2EACB0"/>
        </w:rPr>
      </w:pPr>
      <w:r w:rsidRPr="000F70A3">
        <w:t xml:space="preserve">Everyone should be able to find out about how patient </w:t>
      </w:r>
      <w:r w:rsidRPr="000F70A3">
        <w:rPr>
          <w:color w:val="00B0F0"/>
          <w:highlight w:val="magenta"/>
        </w:rPr>
        <w:t>data</w:t>
      </w:r>
      <w:r w:rsidRPr="000F70A3">
        <w:rPr>
          <w:color w:val="00B0F0"/>
        </w:rPr>
        <w:t xml:space="preserve"> are</w:t>
      </w:r>
      <w:r w:rsidRPr="000F70A3">
        <w:t xml:space="preserve"> used. </w:t>
      </w:r>
      <w:r w:rsidRPr="000F70A3">
        <w:rPr>
          <w:color w:val="2EACB0"/>
        </w:rPr>
        <w:t xml:space="preserve">#datasaveslives </w:t>
      </w:r>
      <w:r w:rsidRPr="000F70A3">
        <w:t>You can find out more about the background to this citation here: https://understandingpatientdata.org.uk/data-citati</w:t>
      </w:r>
      <w:r w:rsidRPr="000F70A3">
        <w:rPr>
          <w:color w:val="0563C1"/>
          <w:u w:val="single"/>
        </w:rPr>
        <w:t>on</w:t>
      </w:r>
    </w:p>
    <w:p w14:paraId="174CB104" w14:textId="5791E1A0" w:rsidR="000F70A3" w:rsidRPr="000F70A3" w:rsidRDefault="000F70A3" w:rsidP="00DA3216">
      <w:pPr>
        <w:pStyle w:val="52AheadHeadingsHeadingstyles"/>
        <w:rPr>
          <w:rFonts w:eastAsia="DengXian Light"/>
        </w:rPr>
      </w:pPr>
      <w:bookmarkStart w:id="34" w:name="_Toc106099135"/>
      <w:r w:rsidRPr="000F70A3">
        <w:rPr>
          <w:rFonts w:eastAsia="DengXian Light"/>
        </w:rPr>
        <w:t>Publications List</w:t>
      </w:r>
      <w:bookmarkEnd w:id="34"/>
    </w:p>
    <w:p w14:paraId="742FB175" w14:textId="77777777" w:rsidR="000F70A3" w:rsidRPr="000F70A3" w:rsidRDefault="000F70A3" w:rsidP="00DA3216">
      <w:pPr>
        <w:pStyle w:val="53BheadHeadingsHeadingstyles"/>
      </w:pPr>
      <w:r w:rsidRPr="000F70A3">
        <w:t>Journal Articles</w:t>
      </w:r>
    </w:p>
    <w:p w14:paraId="64B7BF87" w14:textId="77777777" w:rsidR="000F70A3" w:rsidRPr="000F70A3" w:rsidRDefault="000F70A3" w:rsidP="00DA3216">
      <w:pPr>
        <w:pStyle w:val="602TextfoTextstylesTextstyles"/>
      </w:pPr>
      <w:r w:rsidRPr="000F70A3">
        <w:t>Gill, Ashdown, Wang,</w:t>
      </w:r>
      <w:r w:rsidRPr="000F70A3">
        <w:rPr>
          <w:i/>
          <w:color w:val="00B0F0"/>
        </w:rPr>
        <w:t xml:space="preserve"> et al</w:t>
      </w:r>
      <w:r w:rsidRPr="000F70A3">
        <w:t>. Identification of children at risk of influenza-related complications in primary and ambulatory care: a systematic review and meta-analysis</w:t>
      </w:r>
      <w:r w:rsidRPr="000F70A3">
        <w:rPr>
          <w:i/>
        </w:rPr>
        <w:t xml:space="preserve">) </w:t>
      </w:r>
      <w:r w:rsidRPr="000F70A3">
        <w:t>and is available via Open Access at https://ora.ox.ac.uk/objects/uuid:1e9ec169-61bf-4f70-8c98-425650ff0eb4 DOI: https://doi.org/10.1016/S2213-2600(14)70252-8</w:t>
      </w:r>
    </w:p>
    <w:p w14:paraId="783B78C7" w14:textId="77777777" w:rsidR="000F70A3" w:rsidRPr="000F70A3" w:rsidRDefault="000F70A3" w:rsidP="00DA3216">
      <w:pPr>
        <w:pStyle w:val="602TextfoTextstylesTextstyles"/>
      </w:pPr>
      <w:r w:rsidRPr="000F70A3">
        <w:t>Ashdown HF, Räisänen U, Wang K,</w:t>
      </w:r>
      <w:r w:rsidRPr="000F70A3">
        <w:rPr>
          <w:i/>
          <w:color w:val="00B0F0"/>
        </w:rPr>
        <w:t xml:space="preserve"> et al</w:t>
      </w:r>
      <w:r w:rsidRPr="000F70A3">
        <w:t xml:space="preserve">. Prescribing antibiotics to </w:t>
      </w:r>
      <w:r w:rsidRPr="000F70A3">
        <w:rPr>
          <w:color w:val="00B0F0"/>
        </w:rPr>
        <w:t>‘</w:t>
      </w:r>
      <w:r w:rsidRPr="000F70A3">
        <w:t>at-risk</w:t>
      </w:r>
      <w:r w:rsidRPr="000F70A3">
        <w:rPr>
          <w:color w:val="00B0F0"/>
        </w:rPr>
        <w:t>’</w:t>
      </w:r>
      <w:r w:rsidRPr="000F70A3">
        <w:t xml:space="preserve"> children with influenza-like illness in primary care: qualitative study</w:t>
      </w:r>
      <w:r w:rsidRPr="000F70A3">
        <w:rPr>
          <w:i/>
        </w:rPr>
        <w:t xml:space="preserve">. BMJ Open </w:t>
      </w:r>
      <w:r w:rsidRPr="000F70A3">
        <w:t xml:space="preserve">2016;6: e011497. DOI: </w:t>
      </w:r>
      <w:r w:rsidRPr="000F70A3">
        <w:rPr>
          <w:rFonts w:cs="Calibri"/>
          <w:shd w:val="clear" w:color="auto" w:fill="FFFFFF"/>
        </w:rPr>
        <w:t>http://dx.doi.org/10.1136/bmjopen-2016-011497</w:t>
      </w:r>
    </w:p>
    <w:p w14:paraId="1C956939" w14:textId="77777777" w:rsidR="000F70A3" w:rsidRPr="000F70A3" w:rsidRDefault="000F70A3" w:rsidP="00DA3216">
      <w:pPr>
        <w:pStyle w:val="602TextfoTextstylesTextstyles"/>
        <w:rPr>
          <w:bCs/>
          <w:sz w:val="24"/>
          <w:szCs w:val="24"/>
          <w:lang w:eastAsia="en-GB"/>
        </w:rPr>
      </w:pPr>
      <w:r w:rsidRPr="000F70A3">
        <w:t>Van Hecke O, Butler CC, Wang K, Tonkin-Crine S, Parents</w:t>
      </w:r>
      <w:r w:rsidRPr="000F70A3">
        <w:rPr>
          <w:color w:val="00B0F0"/>
        </w:rPr>
        <w:t>’</w:t>
      </w:r>
      <w:r w:rsidRPr="000F70A3">
        <w:t xml:space="preserve"> perceptions of antibiotic use and antibiotic resistance (PAUSE): a qualitative interview study</w:t>
      </w:r>
      <w:r w:rsidRPr="000F70A3">
        <w:rPr>
          <w:i/>
        </w:rPr>
        <w:t xml:space="preserve"> Antimicrob Chemother. 2019 Jun 1;74(6):1741</w:t>
      </w:r>
      <w:r w:rsidRPr="000F70A3">
        <w:rPr>
          <w:i/>
          <w:color w:val="00B0F0"/>
        </w:rPr>
        <w:t>–1</w:t>
      </w:r>
      <w:r w:rsidRPr="000F70A3">
        <w:rPr>
          <w:i/>
        </w:rPr>
        <w:t xml:space="preserve">747. </w:t>
      </w:r>
      <w:r w:rsidRPr="000F70A3">
        <w:t>DOI:</w:t>
      </w:r>
      <w:r w:rsidRPr="000F70A3">
        <w:rPr>
          <w:i/>
        </w:rPr>
        <w:t xml:space="preserve"> </w:t>
      </w:r>
      <w:r w:rsidRPr="000F70A3">
        <w:rPr>
          <w:color w:val="0563C1"/>
          <w:u w:val="single"/>
        </w:rPr>
        <w:t>https://doi.org/10.1093/jac/dkz091</w:t>
      </w:r>
    </w:p>
    <w:p w14:paraId="2AF27E29" w14:textId="77777777" w:rsidR="000F70A3" w:rsidRPr="000F70A3" w:rsidRDefault="000F70A3" w:rsidP="00DA3216">
      <w:pPr>
        <w:pStyle w:val="602TextfoTextstylesTextstyles"/>
      </w:pPr>
      <w:r w:rsidRPr="000F70A3">
        <w:t>Wang K, Carver T, Tonner S,</w:t>
      </w:r>
      <w:r w:rsidRPr="000F70A3">
        <w:rPr>
          <w:i/>
          <w:color w:val="00B0F0"/>
        </w:rPr>
        <w:t xml:space="preserve"> et al</w:t>
      </w:r>
      <w:r w:rsidRPr="000F70A3">
        <w:t xml:space="preserve"> Early use of Antibiotics for at Risk CHildren with InfluEnza (ARCHIE): protocol for a double-blind, randomised, placebo-controlled trial </w:t>
      </w:r>
      <w:r w:rsidRPr="000F70A3">
        <w:rPr>
          <w:i/>
        </w:rPr>
        <w:t>BMJ Open</w:t>
      </w:r>
      <w:r w:rsidRPr="000F70A3">
        <w:t xml:space="preserve"> 2018;8:e021144. DOI: http://dx.doi.org/10.1136/bmjopen-2017-021144</w:t>
      </w:r>
    </w:p>
    <w:p w14:paraId="33DEA531" w14:textId="77777777" w:rsidR="000F70A3" w:rsidRPr="000F70A3" w:rsidRDefault="000F70A3" w:rsidP="00DA3216">
      <w:pPr>
        <w:pStyle w:val="602TextfoTextstylesTextstyles"/>
      </w:pPr>
      <w:r w:rsidRPr="000F70A3">
        <w:t>van Hecke O, Fuller A, Bankhead C</w:t>
      </w:r>
      <w:r w:rsidRPr="000F70A3">
        <w:rPr>
          <w:i/>
          <w:color w:val="00B0F0"/>
        </w:rPr>
        <w:t xml:space="preserve"> et al</w:t>
      </w:r>
      <w:r w:rsidRPr="000F70A3">
        <w:t xml:space="preserve">l Antibiotic exposure and </w:t>
      </w:r>
      <w:r w:rsidRPr="000F70A3">
        <w:rPr>
          <w:color w:val="00B0F0"/>
        </w:rPr>
        <w:t>‘</w:t>
      </w:r>
      <w:r w:rsidRPr="000F70A3">
        <w:t>Response Failure</w:t>
      </w:r>
      <w:r w:rsidRPr="000F70A3">
        <w:rPr>
          <w:color w:val="00B0F0"/>
        </w:rPr>
        <w:t>’</w:t>
      </w:r>
      <w:r w:rsidRPr="000F70A3">
        <w:t xml:space="preserve"> for subsequent respiratory tract infections: An observational cohort study for UK preschool children in primary care </w:t>
      </w:r>
      <w:r w:rsidRPr="000F70A3">
        <w:rPr>
          <w:i/>
        </w:rPr>
        <w:t xml:space="preserve">British Journal of General </w:t>
      </w:r>
      <w:r w:rsidRPr="000F70A3">
        <w:rPr>
          <w:i/>
          <w:highlight w:val="magenta"/>
        </w:rPr>
        <w:t>Practice</w:t>
      </w:r>
      <w:r w:rsidRPr="000F70A3">
        <w:t xml:space="preserve"> 2019; 69 (686): e638-e646. DOI: </w:t>
      </w:r>
      <w:r w:rsidRPr="000F70A3">
        <w:rPr>
          <w:color w:val="0563C1"/>
          <w:u w:val="single"/>
        </w:rPr>
        <w:t>https://doi.org/10.3399/bjgp19X705089</w:t>
      </w:r>
    </w:p>
    <w:p w14:paraId="7F740869" w14:textId="77777777" w:rsidR="000F70A3" w:rsidRPr="000F70A3" w:rsidRDefault="000F70A3" w:rsidP="00DA3216">
      <w:pPr>
        <w:pStyle w:val="602TextfoTextstylesTextstyles"/>
        <w:rPr>
          <w:color w:val="0563C1"/>
          <w:u w:val="single"/>
        </w:rPr>
      </w:pPr>
      <w:r w:rsidRPr="000F70A3">
        <w:t>van Hecke O, Wang K, Lee J, Implications of Antibiotic Resistance for Patient</w:t>
      </w:r>
      <w:r w:rsidRPr="000F70A3">
        <w:rPr>
          <w:color w:val="00B0F0"/>
        </w:rPr>
        <w:t>’</w:t>
      </w:r>
      <w:r w:rsidRPr="000F70A3">
        <w:t xml:space="preserve">s Recovery from Common Infections in the Community: A systematic Review and Meta-Analysis and is available via Open Access at https://www.ncbi.nlm.nih.gov/pmc/articles/PMC5850316/DOI: </w:t>
      </w:r>
      <w:r w:rsidRPr="000F70A3">
        <w:rPr>
          <w:color w:val="0563C1"/>
          <w:u w:val="single"/>
        </w:rPr>
        <w:t>https://doi.org/10.1093/cid/cix233</w:t>
      </w:r>
    </w:p>
    <w:p w14:paraId="2173AC84" w14:textId="77777777" w:rsidR="000F70A3" w:rsidRPr="000F70A3" w:rsidRDefault="000F70A3" w:rsidP="00DA3216">
      <w:pPr>
        <w:pStyle w:val="602TextfoTextstylesTextstyles"/>
        <w:rPr>
          <w:color w:val="0563C1"/>
          <w:u w:val="single"/>
        </w:rPr>
      </w:pPr>
      <w:r w:rsidRPr="000F70A3">
        <w:t xml:space="preserve">Wolstenholme JL, Bargo D, Wang K, Harnden A, Räisänen U, Abel L. Preference based measures to obtain health state utility values for use in economic evaluations with child-based populations: a review and UK-based focus group assessment of patient and parent choices. </w:t>
      </w:r>
      <w:r w:rsidRPr="000F70A3">
        <w:rPr>
          <w:i/>
        </w:rPr>
        <w:t>Quality of Life Research.</w:t>
      </w:r>
      <w:r w:rsidRPr="000F70A3">
        <w:t xml:space="preserve"> 21 Mar 2018 DOI: </w:t>
      </w:r>
      <w:r w:rsidRPr="000F70A3">
        <w:rPr>
          <w:color w:val="0563C1"/>
          <w:u w:val="single"/>
        </w:rPr>
        <w:t>https://doi.org/10.1007/s11136-018-1831-6</w:t>
      </w:r>
    </w:p>
    <w:p w14:paraId="6DAE0DE8" w14:textId="77777777" w:rsidR="000F70A3" w:rsidRPr="000F70A3" w:rsidRDefault="000F70A3" w:rsidP="00DA3216">
      <w:pPr>
        <w:pStyle w:val="602TextfoTextstylesTextstyles"/>
        <w:rPr>
          <w:color w:val="0563C1"/>
          <w:u w:val="single"/>
        </w:rPr>
      </w:pPr>
      <w:r w:rsidRPr="000F70A3">
        <w:t xml:space="preserve">Wang K, Semple MG, Moore Met all Early use of Antibiotics for at Risk CHildren with InfluEnza (ARCHIE): a double-blind, randomised, placebo-controlled trial and is available via Open Access at https://ora.ox.ac.uk/objects/uuid:e3613733-ecd1-431e-b096-73e5c2446a8f DOI: </w:t>
      </w:r>
      <w:r w:rsidRPr="000F70A3">
        <w:rPr>
          <w:color w:val="0563C1"/>
          <w:u w:val="single"/>
        </w:rPr>
        <w:t>https://doi.org/</w:t>
      </w:r>
      <w:r w:rsidRPr="000F70A3">
        <w:t>10.1183/13993003.02819-2020</w:t>
      </w:r>
    </w:p>
    <w:p w14:paraId="495861D6" w14:textId="77777777" w:rsidR="000F70A3" w:rsidRPr="000F70A3" w:rsidRDefault="000F70A3" w:rsidP="00DA3216">
      <w:pPr>
        <w:pStyle w:val="602TextfoTextstylesTextstyles"/>
      </w:pPr>
      <w:r w:rsidRPr="000F70A3">
        <w:t>Rombach I, Wang K, Tonner S</w:t>
      </w:r>
      <w:r w:rsidRPr="000F70A3">
        <w:rPr>
          <w:i/>
          <w:color w:val="00B0F0"/>
        </w:rPr>
        <w:t xml:space="preserve"> et al</w:t>
      </w:r>
      <w:r w:rsidRPr="000F70A3">
        <w:t xml:space="preserve"> Quality of life, healthcare use and costs in </w:t>
      </w:r>
      <w:r w:rsidRPr="000F70A3">
        <w:rPr>
          <w:color w:val="00B0F0"/>
        </w:rPr>
        <w:t>‘</w:t>
      </w:r>
      <w:r w:rsidRPr="000F70A3">
        <w:t>at-risk</w:t>
      </w:r>
      <w:r w:rsidRPr="000F70A3">
        <w:rPr>
          <w:color w:val="00B0F0"/>
        </w:rPr>
        <w:t>’</w:t>
      </w:r>
      <w:r w:rsidRPr="000F70A3">
        <w:t xml:space="preserve"> children after early antibiotic treatment versus placebo for influenza-like illness: within-trial descriptive economic analyses of the ARCHIE randomised controlled trial. </w:t>
      </w:r>
      <w:r w:rsidRPr="000F70A3">
        <w:rPr>
          <w:i/>
        </w:rPr>
        <w:t xml:space="preserve">BMJ Open </w:t>
      </w:r>
      <w:r w:rsidRPr="000F70A3">
        <w:t xml:space="preserve">April 2022 DOI: </w:t>
      </w:r>
      <w:r w:rsidRPr="000F70A3">
        <w:rPr>
          <w:color w:val="0563C1"/>
        </w:rPr>
        <w:t>http://dx.doi.org/10.1136/bmjopen-2021-049373</w:t>
      </w:r>
    </w:p>
    <w:p w14:paraId="5EAE1F97" w14:textId="77777777" w:rsidR="000F70A3" w:rsidRPr="000F70A3" w:rsidRDefault="000F70A3" w:rsidP="00DA3216">
      <w:pPr>
        <w:pStyle w:val="53BheadHeadingsHeadingstyles"/>
      </w:pPr>
      <w:r w:rsidRPr="000F70A3">
        <w:t>Other Outputs</w:t>
      </w:r>
    </w:p>
    <w:p w14:paraId="58FEBD52" w14:textId="77777777" w:rsidR="000F70A3" w:rsidRPr="000F70A3" w:rsidRDefault="000F70A3" w:rsidP="00DA3216">
      <w:pPr>
        <w:pStyle w:val="602TextfoTextstylesTextstyles"/>
        <w:rPr>
          <w:bCs/>
          <w:sz w:val="24"/>
          <w:szCs w:val="24"/>
          <w:lang w:eastAsia="en-GB"/>
        </w:rPr>
      </w:pPr>
      <w:r w:rsidRPr="000F70A3">
        <w:t xml:space="preserve">We interviewed parents of children with a long term health condition or a disability and who had previously become unwell </w:t>
      </w:r>
      <w:r w:rsidRPr="000F70A3">
        <w:rPr>
          <w:highlight w:val="magenta"/>
        </w:rPr>
        <w:t>due to</w:t>
      </w:r>
      <w:r w:rsidRPr="000F70A3">
        <w:t xml:space="preserve"> influenza/ILI. Parents</w:t>
      </w:r>
      <w:r w:rsidRPr="000F70A3">
        <w:rPr>
          <w:color w:val="00B0F0"/>
        </w:rPr>
        <w:t>’</w:t>
      </w:r>
      <w:r w:rsidRPr="000F70A3">
        <w:t xml:space="preserve"> beliefs regarding the relative necessity of antibiotics versus concerns that antibiotics may cause harm to their child was explored as a key theme. Interviews were compiled and publicly released, with consent, as a website segment </w:t>
      </w:r>
      <w:r w:rsidRPr="000F70A3">
        <w:rPr>
          <w:bCs/>
          <w:color w:val="0563C1"/>
          <w:u w:val="single"/>
          <w:lang w:eastAsia="en-GB"/>
        </w:rPr>
        <w:t>http://www.healthtalk.org/peoples-experiences/pregnancy-children/flu-or-flu-illness-chronically-ill-or-disabled-children/topics</w:t>
      </w:r>
    </w:p>
    <w:p w14:paraId="3FB1C7FC" w14:textId="77777777" w:rsidR="000F70A3" w:rsidRPr="000F70A3" w:rsidRDefault="000F70A3" w:rsidP="00DA3216">
      <w:pPr>
        <w:pStyle w:val="602TextfoTextstylesTextstyles"/>
      </w:pPr>
      <w:r w:rsidRPr="000F70A3">
        <w:t xml:space="preserve">Poster presentation and oral presentation title: The clinical relevance of antibiotic resistance in patients presenting with common infections in primary care: a systematic review and meta-analysis Authors: Oliver van Hecke, Kay Wang, Joe Lee, Nia Roberts, Christopher Butler, Nuffield Department of Primary Care Health Sciences, University of Oxford Poster presentation meeting &amp; date: </w:t>
      </w:r>
      <w:r w:rsidRPr="000F70A3">
        <w:rPr>
          <w:color w:val="00B0F0"/>
          <w:highlight w:val="green"/>
        </w:rPr>
        <w:t>“</w:t>
      </w:r>
      <w:r w:rsidRPr="000F70A3">
        <w:rPr>
          <w:highlight w:val="green"/>
        </w:rPr>
        <w:t>Antimicrobial Resistance: Implications for the Future of Medicine</w:t>
      </w:r>
      <w:r w:rsidRPr="000F70A3">
        <w:rPr>
          <w:color w:val="00B0F0"/>
          <w:highlight w:val="green"/>
        </w:rPr>
        <w:t>”</w:t>
      </w:r>
      <w:r w:rsidRPr="000F70A3">
        <w:t>, Richard Doll Society and Oxford Global Health Group meeting, Green Templeton College, Oxford, 31 October 2015 Oral presentation meeting &amp; date: South West Meeting of the Society for the Academic Primary Care (SW SAPC) Cardiff, 1</w:t>
      </w:r>
      <w:r w:rsidRPr="000F70A3">
        <w:rPr>
          <w:color w:val="00B0F0"/>
        </w:rPr>
        <w:t>–2</w:t>
      </w:r>
      <w:r w:rsidRPr="000F70A3">
        <w:t xml:space="preserve"> March 2016.</w:t>
      </w:r>
    </w:p>
    <w:p w14:paraId="2251D62E" w14:textId="77777777" w:rsidR="000F70A3" w:rsidRPr="000F70A3" w:rsidRDefault="000F70A3" w:rsidP="00DA3216">
      <w:pPr>
        <w:pStyle w:val="602TextfoTextstylesTextstyles"/>
      </w:pPr>
      <w:r w:rsidRPr="000F70A3">
        <w:t xml:space="preserve">Prescribing antibiotics to </w:t>
      </w:r>
      <w:r w:rsidRPr="000F70A3">
        <w:rPr>
          <w:color w:val="00B0F0"/>
        </w:rPr>
        <w:t>“</w:t>
      </w:r>
      <w:r w:rsidRPr="000F70A3">
        <w:t>at-risk</w:t>
      </w:r>
      <w:r w:rsidRPr="000F70A3">
        <w:rPr>
          <w:color w:val="00B0F0"/>
        </w:rPr>
        <w:t>”</w:t>
      </w:r>
      <w:r w:rsidRPr="000F70A3">
        <w:t xml:space="preserve"> children with influenza-like illness in primary care: qualitative study Presentation given to the North American Primary Care Research Group (NAPCRG) international conference November 2016</w:t>
      </w:r>
    </w:p>
    <w:p w14:paraId="38926F10" w14:textId="77777777" w:rsidR="000F70A3" w:rsidRPr="000F70A3" w:rsidRDefault="000F70A3" w:rsidP="00DA3216">
      <w:pPr>
        <w:pStyle w:val="602TextfoTextstylesTextstyles"/>
      </w:pPr>
      <w:r w:rsidRPr="000F70A3">
        <w:t xml:space="preserve">Association between antibiotic exposure and antibiotic </w:t>
      </w:r>
      <w:r w:rsidRPr="000F70A3">
        <w:rPr>
          <w:color w:val="00B0F0"/>
        </w:rPr>
        <w:t>“</w:t>
      </w:r>
      <w:r w:rsidRPr="000F70A3">
        <w:t>response failure</w:t>
      </w:r>
      <w:r w:rsidRPr="000F70A3">
        <w:rPr>
          <w:color w:val="00B0F0"/>
        </w:rPr>
        <w:t>”</w:t>
      </w:r>
      <w:r w:rsidRPr="000F70A3">
        <w:t xml:space="preserve"> in preschool children with acute respiratory tract infections: an observational cohort study. Presentation at international conference (General </w:t>
      </w:r>
      <w:r w:rsidRPr="000F70A3">
        <w:rPr>
          <w:highlight w:val="magenta"/>
        </w:rPr>
        <w:t>Practice</w:t>
      </w:r>
      <w:r w:rsidRPr="000F70A3">
        <w:t xml:space="preserve"> Research on Infections Network Meeting, Oslo 29</w:t>
      </w:r>
      <w:r w:rsidRPr="000F70A3">
        <w:rPr>
          <w:color w:val="00B0F0"/>
        </w:rPr>
        <w:t>–3</w:t>
      </w:r>
      <w:r w:rsidRPr="000F70A3">
        <w:t>0 Sept 2016)</w:t>
      </w:r>
    </w:p>
    <w:p w14:paraId="64BB962C" w14:textId="77777777" w:rsidR="000F70A3" w:rsidRPr="000F70A3" w:rsidRDefault="000F70A3" w:rsidP="00DA3216">
      <w:pPr>
        <w:pStyle w:val="602TextfoTextstylesTextstyles"/>
      </w:pPr>
      <w:r w:rsidRPr="000F70A3">
        <w:t>The implications of antibiotic resistance for patients</w:t>
      </w:r>
      <w:r w:rsidRPr="000F70A3">
        <w:rPr>
          <w:color w:val="00B0F0"/>
        </w:rPr>
        <w:t>’</w:t>
      </w:r>
      <w:r w:rsidRPr="000F70A3">
        <w:t xml:space="preserve"> recovery from common infections in the community: a systematic review and meta-analysis. Presented at North American Primary Care Research Group (NAPCRG) international conference (Colorado Springs, November 2016)</w:t>
      </w:r>
    </w:p>
    <w:p w14:paraId="0B7CFC44" w14:textId="77777777" w:rsidR="000F70A3" w:rsidRPr="000F70A3" w:rsidRDefault="000F70A3" w:rsidP="00DA3216">
      <w:pPr>
        <w:pStyle w:val="602TextfoTextstylesTextstyles"/>
        <w:rPr>
          <w:color w:val="0563C1"/>
          <w:u w:val="single"/>
        </w:rPr>
      </w:pPr>
      <w:r w:rsidRPr="000F70A3">
        <w:t>It</w:t>
      </w:r>
      <w:r w:rsidRPr="000F70A3">
        <w:rPr>
          <w:color w:val="00B0F0"/>
        </w:rPr>
        <w:t>’</w:t>
      </w:r>
      <w:r w:rsidRPr="000F70A3">
        <w:t>s false to believe that antibiotic resistance is only a problem in hospitals – GP surgeries are seeing it too. https://theconversation.com/its-false-to-believe-that-antibiotic-resistance-is-only-a-problem-in-hospitals-gp-surgeries-are-seeing-it-too-73414) This work was subsequently picked up by the national newspaper (The Independent, 24 April 2017) http://www.independent.co.uk/news/health/it-s-false-to-believe-that-antibiotic-resistance-is-only-a-problem-in-hospitals-gp-surgeries-are-a7695481.html</w:t>
      </w:r>
      <w:bookmarkStart w:id="35" w:name="_Toc106099136"/>
    </w:p>
    <w:p w14:paraId="54E66DDB" w14:textId="1CF15492" w:rsidR="000F70A3" w:rsidRPr="000F70A3" w:rsidRDefault="000F70A3" w:rsidP="00DA3216">
      <w:pPr>
        <w:pStyle w:val="43PrelimtitleHeadingsHeadingstyles"/>
        <w:rPr>
          <w:rFonts w:eastAsia="DengXian Light"/>
        </w:rPr>
      </w:pPr>
      <w:r w:rsidRPr="000F70A3">
        <w:rPr>
          <w:rFonts w:eastAsia="DengXian Light"/>
        </w:rPr>
        <w:t>References</w:t>
      </w:r>
      <w:bookmarkEnd w:id="35"/>
    </w:p>
    <w:p w14:paraId="27114A65" w14:textId="4520F9D0" w:rsidR="000F70A3" w:rsidRPr="000F70A3" w:rsidRDefault="00DA3216" w:rsidP="00DA3216">
      <w:pPr>
        <w:pStyle w:val="43AppendixtitleHeadingsHeadingstyles"/>
        <w:rPr>
          <w:rFonts w:eastAsia="DengXian Light"/>
          <w:lang w:eastAsia="en-GB"/>
        </w:rPr>
      </w:pPr>
      <w:bookmarkStart w:id="36" w:name="_Toc61506840"/>
      <w:bookmarkStart w:id="37" w:name="_Toc106099137"/>
      <w:r>
        <w:rPr>
          <w:rFonts w:eastAsia="DengXian Light"/>
          <w:lang w:eastAsia="en-GB"/>
        </w:rPr>
        <w:t>Appendix 1</w:t>
      </w:r>
      <w:r>
        <w:rPr>
          <w:rFonts w:eastAsia="DengXian Light"/>
          <w:lang w:eastAsia="en-GB"/>
        </w:rPr>
        <w:t> </w:t>
      </w:r>
      <w:r w:rsidR="000F70A3" w:rsidRPr="000F70A3">
        <w:rPr>
          <w:rFonts w:eastAsia="DengXian Light"/>
          <w:lang w:eastAsia="en-GB"/>
        </w:rPr>
        <w:t>Management Arrangements</w:t>
      </w:r>
      <w:bookmarkEnd w:id="36"/>
      <w:bookmarkEnd w:id="37"/>
    </w:p>
    <w:p w14:paraId="5D5FC461" w14:textId="77777777" w:rsidR="000F70A3" w:rsidRPr="000F70A3" w:rsidRDefault="000F70A3" w:rsidP="00DA3216">
      <w:pPr>
        <w:pStyle w:val="601TextdropcapTextstylesTextstyles"/>
      </w:pPr>
      <w:r w:rsidRPr="000F70A3">
        <w:t>We conducted our research between January 2013 and October 2019 in collaboration between University of Oxford, University of Liverpool, University of Bristol and University of Southampton.</w:t>
      </w:r>
    </w:p>
    <w:p w14:paraId="3DFDA637" w14:textId="77777777" w:rsidR="000F70A3" w:rsidRPr="000F70A3" w:rsidRDefault="000F70A3" w:rsidP="00DA3216">
      <w:pPr>
        <w:pStyle w:val="602TextfoTextstylesTextstyles"/>
      </w:pPr>
      <w:r w:rsidRPr="000F70A3">
        <w:t>University of Oxford led the research and Professor Anthony Harnden was the Programme Chief Investigator.</w:t>
      </w:r>
    </w:p>
    <w:p w14:paraId="46DE51D0" w14:textId="77777777" w:rsidR="000F70A3" w:rsidRPr="000F70A3" w:rsidRDefault="000F70A3" w:rsidP="00DA3216">
      <w:pPr>
        <w:pStyle w:val="602TextfoTextstylesTextstyles"/>
      </w:pPr>
      <w:r w:rsidRPr="000F70A3">
        <w:t xml:space="preserve">Work package a led by Professor Susan Mallett, Professor of Diagnostic and Medical Statistics, University College London. </w:t>
      </w:r>
      <w:r w:rsidRPr="000F70A3">
        <w:rPr>
          <w:highlight w:val="magenta"/>
        </w:rPr>
        <w:t>Formally</w:t>
      </w:r>
      <w:r w:rsidRPr="000F70A3">
        <w:t xml:space="preserve"> of University of Oxford. This work package was written up by Dr Sharon Tonner and reviewed by Dr Kay Wang and Professor Harnden</w:t>
      </w:r>
    </w:p>
    <w:p w14:paraId="59F57D7D" w14:textId="77777777" w:rsidR="000F70A3" w:rsidRPr="000F70A3" w:rsidRDefault="000F70A3" w:rsidP="00DA3216">
      <w:pPr>
        <w:pStyle w:val="602TextfoTextstylesTextstyles"/>
      </w:pPr>
      <w:r w:rsidRPr="000F70A3">
        <w:t>Work package b led by Professor Sue Ziebland, Professor or Medical Sociology, University of Oxford. This work package was written up by Dr Sharon Tonner and reviewed by Dr Kay Wang and Professor Harnden.</w:t>
      </w:r>
    </w:p>
    <w:p w14:paraId="39DC17F3" w14:textId="77777777" w:rsidR="000F70A3" w:rsidRPr="000F70A3" w:rsidRDefault="000F70A3" w:rsidP="00DA3216">
      <w:pPr>
        <w:pStyle w:val="602TextfoTextstylesTextstyles"/>
      </w:pPr>
      <w:r w:rsidRPr="000F70A3">
        <w:t>Work package c led by Dr Kay Wang, NIHR Postdoctoral Fellow, University of Oxford. The Nuffield Department of Primary Care Sciences Clinical Trial Unit (PC-CTU) managed the RCT. University of Liverpool (PI Professor M.G Semple), University of Bristol (PI Professor Alastair D. Hay) and University of Southampton (PI Professor Mike Moore) acted as co-ordinating centres.</w:t>
      </w:r>
    </w:p>
    <w:p w14:paraId="4B8FA290" w14:textId="77777777" w:rsidR="000F70A3" w:rsidRPr="000F70A3" w:rsidRDefault="000F70A3" w:rsidP="00DA3216">
      <w:pPr>
        <w:pStyle w:val="602TextfoTextstylesTextstyles"/>
      </w:pPr>
      <w:r w:rsidRPr="000F70A3">
        <w:t>Work Package d led by Professor Malcolm G. Semple, Professor in Child Health and Outbreak Medicine, University of Liverpool with support from Alder Hey Children</w:t>
      </w:r>
      <w:r w:rsidRPr="000F70A3">
        <w:rPr>
          <w:color w:val="00B0F0"/>
        </w:rPr>
        <w:t>’</w:t>
      </w:r>
      <w:r w:rsidRPr="000F70A3">
        <w:t>s Hospital NHS Foundation Trust.</w:t>
      </w:r>
    </w:p>
    <w:p w14:paraId="605C4D9F" w14:textId="77777777" w:rsidR="000F70A3" w:rsidRPr="000F70A3" w:rsidRDefault="000F70A3" w:rsidP="00DA3216">
      <w:pPr>
        <w:pStyle w:val="602TextfoTextstylesTextstyles"/>
      </w:pPr>
      <w:r w:rsidRPr="000F70A3">
        <w:t>Work Package e.i led by Professor Rafael Perera, Professor of Medical Statistics, University of Oxford. Work Package e.ii led by Dr Jane Wolstenholme, Senior Health Economist, University of Oxford.</w:t>
      </w:r>
    </w:p>
    <w:p w14:paraId="501AA866" w14:textId="77777777" w:rsidR="000F70A3" w:rsidRPr="000F70A3" w:rsidRDefault="000F70A3" w:rsidP="00DA3216">
      <w:pPr>
        <w:pStyle w:val="602TextfoTextstylesTextstyles"/>
      </w:pPr>
      <w:r w:rsidRPr="000F70A3">
        <w:t>A Programme Steering Committee led by an independent chair, Professor Willie Hamilton (University of Exeter), provided oversight on all work packages.</w:t>
      </w:r>
    </w:p>
    <w:p w14:paraId="29BB3084" w14:textId="77777777" w:rsidR="000F70A3" w:rsidRPr="000F70A3" w:rsidRDefault="000F70A3" w:rsidP="00DA3216">
      <w:pPr>
        <w:pStyle w:val="602TextfoTextstylesTextstyles"/>
      </w:pPr>
      <w:r w:rsidRPr="000F70A3">
        <w:t>Mrs Tricia Carver acted as Programme Manager from 2013</w:t>
      </w:r>
      <w:r w:rsidRPr="000F70A3">
        <w:rPr>
          <w:color w:val="00B0F0"/>
        </w:rPr>
        <w:t>–2</w:t>
      </w:r>
      <w:r w:rsidRPr="000F70A3">
        <w:t>018 and Dr Sharon Tonner acted as Programme Manager from 2018</w:t>
      </w:r>
      <w:r w:rsidRPr="000F70A3">
        <w:rPr>
          <w:color w:val="00B0F0"/>
        </w:rPr>
        <w:t>–2</w:t>
      </w:r>
      <w:r w:rsidRPr="000F70A3">
        <w:t>020</w:t>
      </w:r>
    </w:p>
    <w:p w14:paraId="0D40FB2B" w14:textId="24A9B3D1" w:rsidR="000F70A3" w:rsidRPr="000F70A3" w:rsidRDefault="00DA3216" w:rsidP="00DA3216">
      <w:pPr>
        <w:pStyle w:val="43AppendixtitleHeadingsHeadingstyles"/>
        <w:rPr>
          <w:rFonts w:eastAsia="DengXian Light"/>
          <w:lang w:eastAsia="en-GB"/>
        </w:rPr>
      </w:pPr>
      <w:bookmarkStart w:id="38" w:name="_Toc61506842"/>
      <w:bookmarkStart w:id="39" w:name="_Toc106099138"/>
      <w:r>
        <w:rPr>
          <w:rFonts w:eastAsia="DengXian Light"/>
          <w:lang w:eastAsia="en-GB"/>
        </w:rPr>
        <w:t>Appendix 2</w:t>
      </w:r>
      <w:r>
        <w:rPr>
          <w:rFonts w:eastAsia="DengXian Light"/>
          <w:lang w:eastAsia="en-GB"/>
        </w:rPr>
        <w:t> </w:t>
      </w:r>
      <w:r w:rsidR="000F70A3" w:rsidRPr="000F70A3">
        <w:rPr>
          <w:rFonts w:eastAsia="DengXian Light"/>
          <w:lang w:eastAsia="en-GB"/>
        </w:rPr>
        <w:t>Work Package D Summary Report</w:t>
      </w:r>
      <w:bookmarkEnd w:id="38"/>
      <w:bookmarkEnd w:id="39"/>
    </w:p>
    <w:p w14:paraId="10F0517A" w14:textId="77777777" w:rsidR="000F70A3" w:rsidRPr="000F70A3" w:rsidRDefault="000F70A3" w:rsidP="00DA3216">
      <w:pPr>
        <w:pStyle w:val="52AheadHeadingsHeadingstyles"/>
      </w:pPr>
      <w:r w:rsidRPr="000F70A3">
        <w:t>Introduction</w:t>
      </w:r>
    </w:p>
    <w:p w14:paraId="6E727947" w14:textId="77777777" w:rsidR="000F70A3" w:rsidRPr="000F70A3" w:rsidRDefault="000F70A3" w:rsidP="00DA3216">
      <w:pPr>
        <w:pStyle w:val="602TextfoTextstylesTextstyles"/>
      </w:pPr>
      <w:r w:rsidRPr="000F70A3">
        <w:t xml:space="preserve">Prescribing a beta-lactam antibiotic for acute respiratory tract infections in a general population of children is reported to transiently double the prevalence of antibiotic resistance in </w:t>
      </w:r>
      <w:r w:rsidRPr="000F70A3">
        <w:rPr>
          <w:i/>
          <w:iCs/>
        </w:rPr>
        <w:t>Haemophilus Influenzae</w:t>
      </w:r>
      <w:r w:rsidRPr="000F70A3">
        <w:t xml:space="preserve"> and </w:t>
      </w:r>
      <w:r w:rsidRPr="000F70A3">
        <w:rPr>
          <w:i/>
          <w:iCs/>
        </w:rPr>
        <w:t>Streptococcus pneumonia</w:t>
      </w:r>
      <w:r w:rsidRPr="000F70A3">
        <w:t>e. Prevalence of antibiotic resistance are observed to return to pre-treatment baseline levels within 12 weeks and 6 months respectively</w:t>
      </w:r>
      <w:r w:rsidRPr="000F70A3">
        <w:rPr>
          <w:vertAlign w:val="superscript"/>
        </w:rPr>
        <w:t>1,2</w:t>
      </w:r>
      <w:r w:rsidRPr="000F70A3">
        <w:t>.</w:t>
      </w:r>
    </w:p>
    <w:p w14:paraId="38A38F55" w14:textId="77777777" w:rsidR="000F70A3" w:rsidRPr="000F70A3" w:rsidRDefault="000F70A3" w:rsidP="00DA3216">
      <w:pPr>
        <w:pStyle w:val="602TextfoTextstylesTextstyles"/>
      </w:pPr>
      <w:r w:rsidRPr="000F70A3">
        <w:t>The study population in ARCHIE are children considered at-risk of severe influenza virus infection or complications of influenza virus infection. At-risk children receive more courses of antibiotics than otherwise healthy children, so may carry a greater proportion of resistant species in their respiratory tract flora. Additionally while developing the study proposal, our Patient and Public Involvement work found that parents of at-risk children had concerns about whether commonly prescribed antibiotics will still be effective in treating future infections if their child is prescribed antibiotics early during an influenza or influenza like illness (ILI).</w:t>
      </w:r>
    </w:p>
    <w:p w14:paraId="75BE7123" w14:textId="77777777" w:rsidR="000F70A3" w:rsidRPr="000F70A3" w:rsidRDefault="000F70A3" w:rsidP="00DA3216">
      <w:pPr>
        <w:pStyle w:val="602TextfoTextstylesTextstyles"/>
      </w:pPr>
      <w:r w:rsidRPr="000F70A3">
        <w:t>Antimicrobial resistance is recognised as a threat to treating serious bacterial infections. NICE has issued guidance on antibiotic stewardship so as to reduce inappropriate prescribing</w:t>
      </w:r>
      <w:r w:rsidRPr="000F70A3">
        <w:rPr>
          <w:vertAlign w:val="superscript"/>
        </w:rPr>
        <w:t>3</w:t>
      </w:r>
      <w:r w:rsidRPr="000F70A3">
        <w:t xml:space="preserve"> Should antibiotics be found to be effective in reducing re-attendance for at-risk children with ILI, then evidence is needed that describes the likelihood of acquisition of resistance and its duration. This will inform the benefit vs harm discussion for future national guidance.</w:t>
      </w:r>
    </w:p>
    <w:p w14:paraId="260753F0" w14:textId="77777777" w:rsidR="000F70A3" w:rsidRPr="000F70A3" w:rsidRDefault="000F70A3" w:rsidP="00DA3216">
      <w:pPr>
        <w:pStyle w:val="602TextfoTextstylesTextstyles"/>
      </w:pPr>
      <w:r w:rsidRPr="000F70A3">
        <w:t>Work package d of the ARCHIE programme is a nested microbiology sub study, designed to investigate any potential impact of an additional course of antibiotics given early during an ILI episode on carriage of important pathogenic bacteria and levels of antibiotic resistance over time.</w:t>
      </w:r>
    </w:p>
    <w:p w14:paraId="022BDA5C" w14:textId="77777777" w:rsidR="000F70A3" w:rsidRPr="000F70A3" w:rsidRDefault="000F70A3" w:rsidP="00DA3216">
      <w:pPr>
        <w:pStyle w:val="52AheadHeadingsHeadingstyles"/>
      </w:pPr>
      <w:r w:rsidRPr="000F70A3">
        <w:t>Methods</w:t>
      </w:r>
    </w:p>
    <w:p w14:paraId="6764A96D" w14:textId="77777777" w:rsidR="000F70A3" w:rsidRPr="000F70A3" w:rsidRDefault="000F70A3" w:rsidP="00DA3216">
      <w:pPr>
        <w:pStyle w:val="53BheadHeadingsHeadingstyles"/>
      </w:pPr>
      <w:r w:rsidRPr="000F70A3">
        <w:t>Objective</w:t>
      </w:r>
    </w:p>
    <w:p w14:paraId="1BC4A8AC" w14:textId="77777777" w:rsidR="000F70A3" w:rsidRPr="000F70A3" w:rsidRDefault="000F70A3" w:rsidP="00DA3216">
      <w:pPr>
        <w:pStyle w:val="602TextfoTextstylesTextstyles"/>
      </w:pPr>
      <w:r w:rsidRPr="000F70A3">
        <w:t xml:space="preserve">We aimed to compare the group prevalence and resistance of </w:t>
      </w:r>
      <w:r w:rsidRPr="000F70A3">
        <w:rPr>
          <w:i/>
          <w:iCs/>
        </w:rPr>
        <w:t>Streptococcus pneumonia</w:t>
      </w:r>
      <w:r w:rsidRPr="000F70A3">
        <w:t xml:space="preserve">e and </w:t>
      </w:r>
      <w:r w:rsidRPr="000F70A3">
        <w:rPr>
          <w:i/>
          <w:iCs/>
        </w:rPr>
        <w:t>Haemophilus Influenzae</w:t>
      </w:r>
      <w:r w:rsidRPr="000F70A3">
        <w:t xml:space="preserve"> at 12 months among children in the co-amoxiclav verses placebo arms enrolled in ARCHIE. </w:t>
      </w:r>
      <w:r w:rsidRPr="000F70A3">
        <w:rPr>
          <w:highlight w:val="magenta"/>
        </w:rPr>
        <w:t>Data</w:t>
      </w:r>
      <w:r w:rsidRPr="000F70A3">
        <w:t xml:space="preserve"> on swabs at 3 and 6 months will help impute information on children without a 12-month swab.</w:t>
      </w:r>
    </w:p>
    <w:p w14:paraId="62879271" w14:textId="77777777" w:rsidR="000F70A3" w:rsidRPr="000F70A3" w:rsidRDefault="000F70A3" w:rsidP="00DA3216">
      <w:pPr>
        <w:pStyle w:val="53BheadHeadingsHeadingstyles"/>
      </w:pPr>
      <w:r w:rsidRPr="000F70A3">
        <w:t>Design</w:t>
      </w:r>
    </w:p>
    <w:p w14:paraId="0609EF97" w14:textId="77777777" w:rsidR="000F70A3" w:rsidRPr="000F70A3" w:rsidRDefault="000F70A3" w:rsidP="00DA3216">
      <w:pPr>
        <w:pStyle w:val="602TextfoTextstylesTextstyles"/>
      </w:pPr>
      <w:r w:rsidRPr="000F70A3">
        <w:t>A nested longitudinal cohort study, where children had throat swabs collected at recruitment and then at 3, 6, and 12 months after recruitment. Swabs were analysed for bacterial growth, by species identified and resistance to common anti-microbial agents.</w:t>
      </w:r>
    </w:p>
    <w:p w14:paraId="463934F8" w14:textId="77777777" w:rsidR="000F70A3" w:rsidRPr="000F70A3" w:rsidRDefault="000F70A3" w:rsidP="00DA3216">
      <w:pPr>
        <w:pStyle w:val="602TextfoTextstylesTextstyles"/>
      </w:pPr>
      <w:r w:rsidRPr="000F70A3">
        <w:t xml:space="preserve">Subjects gave consent for their primary care records to be reviewed and </w:t>
      </w:r>
      <w:r w:rsidRPr="000F70A3">
        <w:rPr>
          <w:highlight w:val="magenta"/>
        </w:rPr>
        <w:t>data</w:t>
      </w:r>
      <w:r w:rsidRPr="000F70A3">
        <w:t xml:space="preserve"> pertinent to antimicrobial prescribing in the three months prior to enrolment and duration of the study were collated.</w:t>
      </w:r>
    </w:p>
    <w:p w14:paraId="1BB1E204" w14:textId="77777777" w:rsidR="000F70A3" w:rsidRPr="000F70A3" w:rsidRDefault="000F70A3" w:rsidP="00DA3216">
      <w:pPr>
        <w:pStyle w:val="53BheadHeadingsHeadingstyles"/>
      </w:pPr>
      <w:r w:rsidRPr="000F70A3">
        <w:t>Sample Size</w:t>
      </w:r>
    </w:p>
    <w:p w14:paraId="123877B7" w14:textId="77777777" w:rsidR="000F70A3" w:rsidRPr="000F70A3" w:rsidRDefault="000F70A3" w:rsidP="00DA3216">
      <w:pPr>
        <w:pStyle w:val="602TextfoTextstylesTextstyles"/>
      </w:pPr>
      <w:r w:rsidRPr="000F70A3">
        <w:t>We estimated (</w:t>
      </w:r>
      <w:r w:rsidRPr="000F70A3">
        <w:rPr>
          <w:i/>
          <w:iCs/>
        </w:rPr>
        <w:t>a priori)</w:t>
      </w:r>
      <w:r w:rsidRPr="000F70A3">
        <w:t xml:space="preserve"> that a sample of 210 children would be sufficient to detect a 20% increase in the proportion of ampicillin-resistant </w:t>
      </w:r>
      <w:r w:rsidRPr="000F70A3">
        <w:rPr>
          <w:i/>
          <w:iCs/>
        </w:rPr>
        <w:t>Streptococcus Pneumoniae</w:t>
      </w:r>
      <w:r w:rsidRPr="000F70A3">
        <w:t xml:space="preserve"> and Haemophilus</w:t>
      </w:r>
      <w:r w:rsidRPr="000F70A3">
        <w:rPr>
          <w:color w:val="00B0F0"/>
        </w:rPr>
        <w:t xml:space="preserve"> spp.</w:t>
      </w:r>
      <w:r w:rsidRPr="000F70A3">
        <w:t xml:space="preserve"> (i.e. from 30% to 50%) in the co-amoxiclav versus the placebo group with 80% power and 5% alpha error. We planned to gain consent for 360 children to allowing for approximately 40% loss to follow-up at 12 months.</w:t>
      </w:r>
    </w:p>
    <w:p w14:paraId="1B556D2B" w14:textId="77777777" w:rsidR="000F70A3" w:rsidRPr="000F70A3" w:rsidRDefault="000F70A3" w:rsidP="00DA3216">
      <w:pPr>
        <w:pStyle w:val="53BheadHeadingsHeadingstyles"/>
      </w:pPr>
      <w:r w:rsidRPr="000F70A3">
        <w:t>Clinical sampling</w:t>
      </w:r>
    </w:p>
    <w:p w14:paraId="3749BB40" w14:textId="77777777" w:rsidR="000F70A3" w:rsidRPr="000F70A3" w:rsidRDefault="000F70A3" w:rsidP="00DA3216">
      <w:pPr>
        <w:pStyle w:val="602TextfoTextstylesTextstyles"/>
      </w:pPr>
      <w:r w:rsidRPr="000F70A3">
        <w:t>Flocked throat (pharyngeal) swabs were collected by research nurses using a technique standardised by training supplemented by a video of sampling of a real patient</w:t>
      </w:r>
      <w:r w:rsidRPr="000F70A3">
        <w:rPr>
          <w:vertAlign w:val="superscript"/>
        </w:rPr>
        <w:t>4</w:t>
      </w:r>
      <w:r w:rsidRPr="000F70A3">
        <w:t xml:space="preserve">. Swabs were immediately placed into </w:t>
      </w:r>
      <w:r w:rsidRPr="000F70A3">
        <w:rPr>
          <w:color w:val="00B0F0"/>
        </w:rPr>
        <w:t xml:space="preserve">1 ml </w:t>
      </w:r>
      <w:r w:rsidRPr="000F70A3">
        <w:t>Amies liquid transport medium and posted in first-class mail to one NHS laboratory.</w:t>
      </w:r>
    </w:p>
    <w:p w14:paraId="22A15BAC" w14:textId="77777777" w:rsidR="000F70A3" w:rsidRPr="000F70A3" w:rsidRDefault="000F70A3" w:rsidP="00DA3216">
      <w:pPr>
        <w:pStyle w:val="53BheadHeadingsHeadingstyles"/>
      </w:pPr>
      <w:r w:rsidRPr="000F70A3">
        <w:t>Microbiological method</w:t>
      </w:r>
    </w:p>
    <w:p w14:paraId="23468BA9" w14:textId="77777777" w:rsidR="000F70A3" w:rsidRPr="000F70A3" w:rsidRDefault="000F70A3" w:rsidP="00DA3216">
      <w:pPr>
        <w:pStyle w:val="602TextfoTextstylesTextstyles"/>
      </w:pPr>
      <w:r w:rsidRPr="000F70A3">
        <w:t xml:space="preserve">Swabs were </w:t>
      </w:r>
      <w:r w:rsidRPr="000F70A3">
        <w:rPr>
          <w:color w:val="00B0F0"/>
        </w:rPr>
        <w:t>“</w:t>
      </w:r>
      <w:r w:rsidRPr="000F70A3">
        <w:t>plated</w:t>
      </w:r>
      <w:r w:rsidRPr="000F70A3">
        <w:rPr>
          <w:color w:val="00B0F0"/>
        </w:rPr>
        <w:t>”</w:t>
      </w:r>
      <w:r w:rsidRPr="000F70A3">
        <w:t xml:space="preserve"> by application of 1ul and 10ul loops of transport media on blood and chocolate agar bacterial growth media both with and without ampicillin (selective growth media). Colonies were counted by eye. Drug resistance was screened by radial diffusion inhibition using MAST™ disks and minimum inhibitory concentration (MIC) quantified by MICE™ strips per British Society for Antimicrobial Chemotherapy Standards for Microbiological Investigations (ISO 9001:2008).</w:t>
      </w:r>
    </w:p>
    <w:p w14:paraId="64689262" w14:textId="77777777" w:rsidR="000F70A3" w:rsidRPr="000F70A3" w:rsidRDefault="000F70A3" w:rsidP="00DA3216">
      <w:pPr>
        <w:pStyle w:val="53BheadHeadingsHeadingstyles"/>
      </w:pPr>
      <w:r w:rsidRPr="000F70A3">
        <w:t>Statistical analysis</w:t>
      </w:r>
    </w:p>
    <w:p w14:paraId="1AC49817" w14:textId="77777777" w:rsidR="000F70A3" w:rsidRPr="000F70A3" w:rsidRDefault="000F70A3" w:rsidP="00DA3216">
      <w:pPr>
        <w:pStyle w:val="602TextfoTextstylesTextstyles"/>
      </w:pPr>
      <w:r w:rsidRPr="000F70A3">
        <w:t xml:space="preserve">A statistical analysis plan for the microbiology </w:t>
      </w:r>
      <w:r w:rsidRPr="000F70A3">
        <w:rPr>
          <w:color w:val="00B0F0"/>
          <w:highlight w:val="magenta"/>
        </w:rPr>
        <w:t>data</w:t>
      </w:r>
      <w:r w:rsidRPr="000F70A3">
        <w:rPr>
          <w:color w:val="00B0F0"/>
        </w:rPr>
        <w:t xml:space="preserve"> were</w:t>
      </w:r>
      <w:r w:rsidRPr="000F70A3">
        <w:t xml:space="preserve"> agreed prior to unblinding of the swab </w:t>
      </w:r>
      <w:r w:rsidRPr="000F70A3">
        <w:rPr>
          <w:highlight w:val="magenta"/>
        </w:rPr>
        <w:t>data</w:t>
      </w:r>
      <w:r w:rsidRPr="000F70A3">
        <w:t xml:space="preserve">. Analysis was largely descriptive, but </w:t>
      </w:r>
      <w:r w:rsidRPr="000F70A3">
        <w:rPr>
          <w:color w:val="00B0F0"/>
          <w:highlight w:val="magenta"/>
        </w:rPr>
        <w:t>data</w:t>
      </w:r>
      <w:r w:rsidRPr="000F70A3">
        <w:rPr>
          <w:color w:val="00B0F0"/>
        </w:rPr>
        <w:t xml:space="preserve"> were</w:t>
      </w:r>
      <w:r w:rsidRPr="000F70A3">
        <w:t xml:space="preserve"> available to apply a Chi squared test to </w:t>
      </w:r>
      <w:r w:rsidRPr="000F70A3">
        <w:rPr>
          <w:i/>
          <w:iCs/>
        </w:rPr>
        <w:t>Haemophilus Influenzae</w:t>
      </w:r>
      <w:r w:rsidRPr="000F70A3">
        <w:t xml:space="preserve"> results</w:t>
      </w:r>
      <w:r w:rsidRPr="000F70A3">
        <w:rPr>
          <w:vertAlign w:val="superscript"/>
        </w:rPr>
        <w:t>5</w:t>
      </w:r>
      <w:r w:rsidRPr="000F70A3">
        <w:t>.</w:t>
      </w:r>
    </w:p>
    <w:p w14:paraId="030B5FB5" w14:textId="77777777" w:rsidR="000F70A3" w:rsidRPr="000F70A3" w:rsidRDefault="000F70A3" w:rsidP="00DA3216">
      <w:pPr>
        <w:pStyle w:val="602TextfoTextstylesTextstyles"/>
      </w:pPr>
      <w:r w:rsidRPr="000F70A3">
        <w:t>Swabs were reported by bacterial species cultured. Where more than one isolate of the same species was cultured, only the isolate that had evidence of resistance was included in analysis. Where more than one bacterial specie was cultured, these were analysed separately. This analysis is consistent with standard microbiological reporting by NHS microbiology laboratories.</w:t>
      </w:r>
    </w:p>
    <w:p w14:paraId="666362D1" w14:textId="77777777" w:rsidR="000F70A3" w:rsidRPr="000F70A3" w:rsidRDefault="000F70A3" w:rsidP="00DA3216">
      <w:pPr>
        <w:pStyle w:val="52AheadHeadingsHeadingstyles"/>
      </w:pPr>
      <w:r w:rsidRPr="000F70A3">
        <w:t>Results</w:t>
      </w:r>
    </w:p>
    <w:p w14:paraId="0DD2D162" w14:textId="77777777" w:rsidR="000F70A3" w:rsidRPr="000F70A3" w:rsidRDefault="000F70A3" w:rsidP="00DA3216">
      <w:pPr>
        <w:pStyle w:val="602TextfoTextstylesTextstyles"/>
      </w:pPr>
      <w:r w:rsidRPr="000F70A3">
        <w:t>Throat swabs from 225 children were available at baseline representing 83% of 271 children randomised in the ARCHIE trial. Throats swabs from 93 children were available at 12months representing 34% of children enrolled and reflecting follow-up attrition of 66% over the year.</w:t>
      </w:r>
    </w:p>
    <w:p w14:paraId="6BB764D5" w14:textId="513E16A6" w:rsidR="000F70A3" w:rsidRPr="000F70A3" w:rsidRDefault="00DA3216" w:rsidP="000F70A3">
      <w:pPr>
        <w:pStyle w:val="70TablelegendTablesTableFigureBoxstyles"/>
        <w:rPr>
          <w:rFonts w:eastAsia="DengXian"/>
          <w:lang w:eastAsia="en-GB" w:bidi="hi-IN"/>
        </w:rPr>
      </w:pPr>
      <w:r w:rsidRPr="00DA3216">
        <w:rPr>
          <w:rFonts w:eastAsia="DengXian"/>
          <w:b/>
        </w:rPr>
        <w:t>TABLE 4</w:t>
      </w:r>
      <w:r w:rsidRPr="00DA3216">
        <w:rPr>
          <w:rFonts w:eastAsia="DengXian"/>
          <w:b/>
        </w:rPr>
        <w:t> </w:t>
      </w:r>
      <w:r w:rsidR="000F70A3" w:rsidRPr="000F70A3">
        <w:rPr>
          <w:rFonts w:eastAsia="DengXian"/>
          <w:lang w:eastAsia="en-GB" w:bidi="hi-IN"/>
        </w:rPr>
        <w:t xml:space="preserve">Completed swab </w:t>
      </w:r>
      <w:r w:rsidR="000F70A3" w:rsidRPr="000F70A3">
        <w:rPr>
          <w:rFonts w:eastAsia="DengXian"/>
          <w:highlight w:val="magenta"/>
          <w:lang w:eastAsia="en-GB" w:bidi="hi-IN"/>
        </w:rPr>
        <w:t>data</w:t>
      </w:r>
      <w:r w:rsidR="000F70A3" w:rsidRPr="000F70A3">
        <w:rPr>
          <w:rFonts w:eastAsia="DengXian"/>
          <w:lang w:eastAsia="en-GB" w:bidi="hi-IN"/>
        </w:rPr>
        <w:t xml:space="preserve"> for all randomised children</w:t>
      </w:r>
    </w:p>
    <w:tbl>
      <w:tblPr>
        <w:tblW w:w="0" w:type="auto"/>
        <w:tblCellMar>
          <w:top w:w="40" w:type="dxa"/>
          <w:left w:w="60" w:type="dxa"/>
          <w:bottom w:w="40" w:type="dxa"/>
          <w:right w:w="60" w:type="dxa"/>
        </w:tblCellMar>
        <w:tblLook w:val="04A0" w:firstRow="1" w:lastRow="0" w:firstColumn="1" w:lastColumn="0" w:noHBand="0" w:noVBand="1"/>
      </w:tblPr>
      <w:tblGrid>
        <w:gridCol w:w="3551"/>
        <w:gridCol w:w="1254"/>
        <w:gridCol w:w="834"/>
      </w:tblGrid>
      <w:tr w:rsidR="000F70A3" w:rsidRPr="000F70A3" w14:paraId="59070DFF" w14:textId="77777777" w:rsidTr="0059567E">
        <w:trPr>
          <w:cantSplit/>
        </w:trPr>
        <w:tc>
          <w:tcPr>
            <w:tcW w:w="0" w:type="auto"/>
            <w:shd w:val="clear" w:color="auto" w:fill="D5DCE4"/>
          </w:tcPr>
          <w:p w14:paraId="75A41D1C" w14:textId="77777777" w:rsidR="000F70A3" w:rsidRPr="000F70A3" w:rsidRDefault="000F70A3" w:rsidP="00DA3216">
            <w:pPr>
              <w:pStyle w:val="710TableheadTablesTableFigureBoxstyles"/>
            </w:pPr>
          </w:p>
        </w:tc>
        <w:tc>
          <w:tcPr>
            <w:tcW w:w="0" w:type="auto"/>
            <w:shd w:val="clear" w:color="auto" w:fill="D5DCE4"/>
          </w:tcPr>
          <w:p w14:paraId="33FDC45E" w14:textId="77777777" w:rsidR="000F70A3" w:rsidRPr="000F70A3" w:rsidRDefault="000F70A3" w:rsidP="00DA3216">
            <w:pPr>
              <w:pStyle w:val="710TableheadTablesTableFigureBoxstyles"/>
            </w:pPr>
            <w:r w:rsidRPr="000F70A3">
              <w:t>Co-Amoxiclav</w:t>
            </w:r>
          </w:p>
        </w:tc>
        <w:tc>
          <w:tcPr>
            <w:tcW w:w="0" w:type="auto"/>
            <w:shd w:val="clear" w:color="auto" w:fill="D5DCE4"/>
          </w:tcPr>
          <w:p w14:paraId="2963141B" w14:textId="77777777" w:rsidR="000F70A3" w:rsidRPr="000F70A3" w:rsidRDefault="000F70A3" w:rsidP="00DA3216">
            <w:pPr>
              <w:pStyle w:val="710TableheadTablesTableFigureBoxstyles"/>
            </w:pPr>
            <w:r w:rsidRPr="000F70A3">
              <w:t>Placebo</w:t>
            </w:r>
          </w:p>
        </w:tc>
      </w:tr>
      <w:tr w:rsidR="000F70A3" w:rsidRPr="000F70A3" w14:paraId="3AD8AA10" w14:textId="77777777" w:rsidTr="0059567E">
        <w:trPr>
          <w:cantSplit/>
        </w:trPr>
        <w:tc>
          <w:tcPr>
            <w:tcW w:w="0" w:type="auto"/>
            <w:shd w:val="clear" w:color="auto" w:fill="D5DCE4"/>
          </w:tcPr>
          <w:p w14:paraId="7EB0E6B2" w14:textId="77777777" w:rsidR="000F70A3" w:rsidRPr="000F70A3" w:rsidRDefault="000F70A3" w:rsidP="00DA3216">
            <w:pPr>
              <w:pStyle w:val="710TableheadTablesTableFigureBoxstyles"/>
            </w:pPr>
          </w:p>
        </w:tc>
        <w:tc>
          <w:tcPr>
            <w:tcW w:w="0" w:type="auto"/>
            <w:shd w:val="clear" w:color="auto" w:fill="D5DCE4"/>
          </w:tcPr>
          <w:p w14:paraId="638F2C8E" w14:textId="77777777" w:rsidR="000F70A3" w:rsidRPr="000F70A3" w:rsidRDefault="000F70A3" w:rsidP="00DA3216">
            <w:pPr>
              <w:pStyle w:val="710TableheadTablesTableFigureBoxstyles"/>
            </w:pPr>
            <w:r w:rsidRPr="000F70A3">
              <w:t>(N = 136)</w:t>
            </w:r>
          </w:p>
        </w:tc>
        <w:tc>
          <w:tcPr>
            <w:tcW w:w="0" w:type="auto"/>
            <w:shd w:val="clear" w:color="auto" w:fill="D5DCE4"/>
          </w:tcPr>
          <w:p w14:paraId="06AD2106" w14:textId="77777777" w:rsidR="000F70A3" w:rsidRPr="000F70A3" w:rsidRDefault="000F70A3" w:rsidP="00DA3216">
            <w:pPr>
              <w:pStyle w:val="710TableheadTablesTableFigureBoxstyles"/>
            </w:pPr>
            <w:r w:rsidRPr="000F70A3">
              <w:t>(N = 135)</w:t>
            </w:r>
          </w:p>
        </w:tc>
      </w:tr>
      <w:tr w:rsidR="000F70A3" w:rsidRPr="000F70A3" w14:paraId="6D7ECA6C" w14:textId="77777777" w:rsidTr="0059567E">
        <w:trPr>
          <w:cantSplit/>
        </w:trPr>
        <w:tc>
          <w:tcPr>
            <w:tcW w:w="0" w:type="auto"/>
            <w:shd w:val="clear" w:color="auto" w:fill="auto"/>
          </w:tcPr>
          <w:p w14:paraId="2500FB36" w14:textId="77777777" w:rsidR="000F70A3" w:rsidRPr="00DA3216" w:rsidRDefault="000F70A3" w:rsidP="00DA3216">
            <w:pPr>
              <w:pStyle w:val="72TabletextTablesTableFigureBoxstyles"/>
              <w:rPr>
                <w:b/>
              </w:rPr>
            </w:pPr>
            <w:r w:rsidRPr="00DA3216">
              <w:rPr>
                <w:b/>
              </w:rPr>
              <w:t xml:space="preserve">Swab taken at baseline, </w:t>
            </w:r>
            <w:r w:rsidRPr="00DA3216">
              <w:rPr>
                <w:b/>
                <w:i/>
                <w:color w:val="00B0F0"/>
              </w:rPr>
              <w:t>n</w:t>
            </w:r>
            <w:r w:rsidRPr="00DA3216">
              <w:rPr>
                <w:b/>
              </w:rPr>
              <w:t>(%)</w:t>
            </w:r>
          </w:p>
        </w:tc>
        <w:tc>
          <w:tcPr>
            <w:tcW w:w="0" w:type="auto"/>
            <w:shd w:val="clear" w:color="auto" w:fill="auto"/>
          </w:tcPr>
          <w:p w14:paraId="31B20077" w14:textId="77777777" w:rsidR="000F70A3" w:rsidRPr="000F70A3" w:rsidRDefault="000F70A3" w:rsidP="00DA3216">
            <w:pPr>
              <w:pStyle w:val="72TabletextTablesTableFigureBoxstyles"/>
            </w:pPr>
            <w:r w:rsidRPr="000F70A3">
              <w:t>114 (84%)</w:t>
            </w:r>
          </w:p>
        </w:tc>
        <w:tc>
          <w:tcPr>
            <w:tcW w:w="0" w:type="auto"/>
            <w:shd w:val="clear" w:color="auto" w:fill="auto"/>
          </w:tcPr>
          <w:p w14:paraId="14C89167" w14:textId="77777777" w:rsidR="000F70A3" w:rsidRPr="000F70A3" w:rsidRDefault="000F70A3" w:rsidP="00DA3216">
            <w:pPr>
              <w:pStyle w:val="72TabletextTablesTableFigureBoxstyles"/>
            </w:pPr>
            <w:r w:rsidRPr="000F70A3">
              <w:t>111 (82%)</w:t>
            </w:r>
          </w:p>
        </w:tc>
      </w:tr>
      <w:tr w:rsidR="000F70A3" w:rsidRPr="000F70A3" w14:paraId="7C0A2B9B" w14:textId="77777777" w:rsidTr="0059567E">
        <w:trPr>
          <w:cantSplit/>
        </w:trPr>
        <w:tc>
          <w:tcPr>
            <w:tcW w:w="0" w:type="auto"/>
            <w:shd w:val="clear" w:color="auto" w:fill="auto"/>
          </w:tcPr>
          <w:p w14:paraId="34287F4E" w14:textId="77777777" w:rsidR="000F70A3" w:rsidRPr="00DA3216" w:rsidRDefault="000F70A3" w:rsidP="00DA3216">
            <w:pPr>
              <w:pStyle w:val="72TabletextTablesTableFigureBoxstyles"/>
              <w:rPr>
                <w:b/>
              </w:rPr>
            </w:pPr>
            <w:r w:rsidRPr="00DA3216">
              <w:rPr>
                <w:b/>
              </w:rPr>
              <w:t xml:space="preserve">Consented to swabs at 3, 6, and 12 months, </w:t>
            </w:r>
            <w:r w:rsidRPr="00DA3216">
              <w:rPr>
                <w:b/>
                <w:i/>
                <w:color w:val="00B0F0"/>
              </w:rPr>
              <w:t>n</w:t>
            </w:r>
            <w:r w:rsidRPr="00DA3216">
              <w:rPr>
                <w:b/>
              </w:rPr>
              <w:t>(%)</w:t>
            </w:r>
          </w:p>
        </w:tc>
        <w:tc>
          <w:tcPr>
            <w:tcW w:w="0" w:type="auto"/>
            <w:shd w:val="clear" w:color="auto" w:fill="auto"/>
          </w:tcPr>
          <w:p w14:paraId="10A8A6BC" w14:textId="77777777" w:rsidR="000F70A3" w:rsidRPr="000F70A3" w:rsidRDefault="000F70A3" w:rsidP="00DA3216">
            <w:pPr>
              <w:pStyle w:val="72TabletextTablesTableFigureBoxstyles"/>
            </w:pPr>
            <w:r w:rsidRPr="000F70A3">
              <w:t>103 (76%)</w:t>
            </w:r>
          </w:p>
        </w:tc>
        <w:tc>
          <w:tcPr>
            <w:tcW w:w="0" w:type="auto"/>
            <w:shd w:val="clear" w:color="auto" w:fill="auto"/>
          </w:tcPr>
          <w:p w14:paraId="31113425" w14:textId="77777777" w:rsidR="000F70A3" w:rsidRPr="000F70A3" w:rsidRDefault="000F70A3" w:rsidP="00DA3216">
            <w:pPr>
              <w:pStyle w:val="72TabletextTablesTableFigureBoxstyles"/>
            </w:pPr>
            <w:r w:rsidRPr="000F70A3">
              <w:t>98 (73%)</w:t>
            </w:r>
          </w:p>
        </w:tc>
      </w:tr>
      <w:tr w:rsidR="000F70A3" w:rsidRPr="000F70A3" w14:paraId="30F5C824" w14:textId="77777777" w:rsidTr="0059567E">
        <w:trPr>
          <w:cantSplit/>
        </w:trPr>
        <w:tc>
          <w:tcPr>
            <w:tcW w:w="0" w:type="auto"/>
            <w:shd w:val="clear" w:color="auto" w:fill="auto"/>
          </w:tcPr>
          <w:p w14:paraId="2D37D40B" w14:textId="77777777" w:rsidR="000F70A3" w:rsidRPr="00DA3216" w:rsidRDefault="000F70A3" w:rsidP="00DA3216">
            <w:pPr>
              <w:pStyle w:val="72TabletextTablesTableFigureBoxstyles"/>
              <w:rPr>
                <w:b/>
              </w:rPr>
            </w:pPr>
            <w:r w:rsidRPr="00DA3216">
              <w:rPr>
                <w:b/>
              </w:rPr>
              <w:t xml:space="preserve">Swab taken at 3 months, </w:t>
            </w:r>
            <w:r w:rsidRPr="00DA3216">
              <w:rPr>
                <w:b/>
                <w:i/>
                <w:color w:val="00B0F0"/>
              </w:rPr>
              <w:t>n</w:t>
            </w:r>
            <w:r w:rsidRPr="00DA3216">
              <w:rPr>
                <w:b/>
              </w:rPr>
              <w:t>(%)</w:t>
            </w:r>
          </w:p>
        </w:tc>
        <w:tc>
          <w:tcPr>
            <w:tcW w:w="0" w:type="auto"/>
            <w:shd w:val="clear" w:color="auto" w:fill="auto"/>
          </w:tcPr>
          <w:p w14:paraId="51CE71DA" w14:textId="77777777" w:rsidR="000F70A3" w:rsidRPr="000F70A3" w:rsidRDefault="000F70A3" w:rsidP="00DA3216">
            <w:pPr>
              <w:pStyle w:val="72TabletextTablesTableFigureBoxstyles"/>
            </w:pPr>
            <w:r w:rsidRPr="000F70A3">
              <w:t>55 (40%)</w:t>
            </w:r>
          </w:p>
        </w:tc>
        <w:tc>
          <w:tcPr>
            <w:tcW w:w="0" w:type="auto"/>
            <w:shd w:val="clear" w:color="auto" w:fill="auto"/>
          </w:tcPr>
          <w:p w14:paraId="77F29973" w14:textId="77777777" w:rsidR="000F70A3" w:rsidRPr="000F70A3" w:rsidRDefault="000F70A3" w:rsidP="00DA3216">
            <w:pPr>
              <w:pStyle w:val="72TabletextTablesTableFigureBoxstyles"/>
            </w:pPr>
            <w:r w:rsidRPr="000F70A3">
              <w:t>45 (33%)</w:t>
            </w:r>
          </w:p>
        </w:tc>
      </w:tr>
      <w:tr w:rsidR="000F70A3" w:rsidRPr="000F70A3" w14:paraId="1A21F348" w14:textId="77777777" w:rsidTr="0059567E">
        <w:trPr>
          <w:cantSplit/>
        </w:trPr>
        <w:tc>
          <w:tcPr>
            <w:tcW w:w="0" w:type="auto"/>
            <w:shd w:val="clear" w:color="auto" w:fill="auto"/>
          </w:tcPr>
          <w:p w14:paraId="600BCE30" w14:textId="77777777" w:rsidR="000F70A3" w:rsidRPr="00DA3216" w:rsidRDefault="000F70A3" w:rsidP="00DA3216">
            <w:pPr>
              <w:pStyle w:val="72TabletextTablesTableFigureBoxstyles"/>
              <w:rPr>
                <w:b/>
              </w:rPr>
            </w:pPr>
            <w:r w:rsidRPr="00DA3216">
              <w:rPr>
                <w:b/>
              </w:rPr>
              <w:t xml:space="preserve">Swab taken at 6 months, </w:t>
            </w:r>
            <w:r w:rsidRPr="00DA3216">
              <w:rPr>
                <w:b/>
                <w:i/>
                <w:color w:val="00B0F0"/>
              </w:rPr>
              <w:t>n</w:t>
            </w:r>
            <w:r w:rsidRPr="00DA3216">
              <w:rPr>
                <w:b/>
              </w:rPr>
              <w:t>(%)</w:t>
            </w:r>
          </w:p>
        </w:tc>
        <w:tc>
          <w:tcPr>
            <w:tcW w:w="0" w:type="auto"/>
            <w:shd w:val="clear" w:color="auto" w:fill="auto"/>
          </w:tcPr>
          <w:p w14:paraId="3FF201B9" w14:textId="77777777" w:rsidR="000F70A3" w:rsidRPr="000F70A3" w:rsidRDefault="000F70A3" w:rsidP="00DA3216">
            <w:pPr>
              <w:pStyle w:val="72TabletextTablesTableFigureBoxstyles"/>
            </w:pPr>
            <w:r w:rsidRPr="000F70A3">
              <w:t>47 (35%)</w:t>
            </w:r>
          </w:p>
        </w:tc>
        <w:tc>
          <w:tcPr>
            <w:tcW w:w="0" w:type="auto"/>
            <w:shd w:val="clear" w:color="auto" w:fill="auto"/>
          </w:tcPr>
          <w:p w14:paraId="4238DA78" w14:textId="77777777" w:rsidR="000F70A3" w:rsidRPr="000F70A3" w:rsidRDefault="000F70A3" w:rsidP="00DA3216">
            <w:pPr>
              <w:pStyle w:val="72TabletextTablesTableFigureBoxstyles"/>
            </w:pPr>
            <w:r w:rsidRPr="000F70A3">
              <w:t>45 (33%)</w:t>
            </w:r>
          </w:p>
        </w:tc>
      </w:tr>
      <w:tr w:rsidR="000F70A3" w:rsidRPr="000F70A3" w14:paraId="3D77BB0F" w14:textId="77777777" w:rsidTr="0059567E">
        <w:trPr>
          <w:cantSplit/>
        </w:trPr>
        <w:tc>
          <w:tcPr>
            <w:tcW w:w="0" w:type="auto"/>
            <w:shd w:val="clear" w:color="auto" w:fill="auto"/>
          </w:tcPr>
          <w:p w14:paraId="237EC1C9" w14:textId="77777777" w:rsidR="000F70A3" w:rsidRPr="00DA3216" w:rsidRDefault="000F70A3" w:rsidP="00DA3216">
            <w:pPr>
              <w:pStyle w:val="72TabletextTablesTableFigureBoxstyles"/>
              <w:rPr>
                <w:b/>
              </w:rPr>
            </w:pPr>
            <w:r w:rsidRPr="00DA3216">
              <w:rPr>
                <w:b/>
              </w:rPr>
              <w:t xml:space="preserve">Swab taken at 12 months, </w:t>
            </w:r>
            <w:r w:rsidRPr="00DA3216">
              <w:rPr>
                <w:b/>
                <w:i/>
                <w:color w:val="00B0F0"/>
              </w:rPr>
              <w:t>n</w:t>
            </w:r>
            <w:r w:rsidRPr="00DA3216">
              <w:rPr>
                <w:b/>
              </w:rPr>
              <w:t>(%)</w:t>
            </w:r>
          </w:p>
        </w:tc>
        <w:tc>
          <w:tcPr>
            <w:tcW w:w="0" w:type="auto"/>
            <w:shd w:val="clear" w:color="auto" w:fill="auto"/>
          </w:tcPr>
          <w:p w14:paraId="50DD1170" w14:textId="77777777" w:rsidR="000F70A3" w:rsidRPr="000F70A3" w:rsidRDefault="000F70A3" w:rsidP="00DA3216">
            <w:pPr>
              <w:pStyle w:val="72TabletextTablesTableFigureBoxstyles"/>
            </w:pPr>
            <w:r w:rsidRPr="000F70A3">
              <w:t>47 (35%)</w:t>
            </w:r>
          </w:p>
        </w:tc>
        <w:tc>
          <w:tcPr>
            <w:tcW w:w="0" w:type="auto"/>
            <w:shd w:val="clear" w:color="auto" w:fill="auto"/>
          </w:tcPr>
          <w:p w14:paraId="4BF2D239" w14:textId="77777777" w:rsidR="000F70A3" w:rsidRPr="000F70A3" w:rsidRDefault="000F70A3" w:rsidP="00DA3216">
            <w:pPr>
              <w:pStyle w:val="72TabletextTablesTableFigureBoxstyles"/>
            </w:pPr>
            <w:r w:rsidRPr="000F70A3">
              <w:t>46 (34%)</w:t>
            </w:r>
          </w:p>
        </w:tc>
      </w:tr>
    </w:tbl>
    <w:p w14:paraId="5B0D0889" w14:textId="77777777" w:rsidR="000F70A3" w:rsidRPr="000F70A3" w:rsidRDefault="000F70A3" w:rsidP="00DA3216">
      <w:pPr>
        <w:pStyle w:val="602TextfoTextstylesTextstyles"/>
      </w:pPr>
      <w:r w:rsidRPr="000F70A3">
        <w:t>The baseline demographic characteristics of children in the two groups are provided in Report Supplementary Material 3 Additional tables to Appendix 2. There were no significant differences in age or sex between groups.</w:t>
      </w:r>
    </w:p>
    <w:p w14:paraId="1E0D5633" w14:textId="77777777" w:rsidR="000F70A3" w:rsidRPr="000F70A3" w:rsidRDefault="000F70A3" w:rsidP="00DA3216">
      <w:pPr>
        <w:pStyle w:val="602TextfoTextstylesTextstyles"/>
      </w:pPr>
      <w:r w:rsidRPr="000F70A3">
        <w:t xml:space="preserve">The prevalence of bacterial species of potential pathogenic significance are described in </w:t>
      </w:r>
      <w:r w:rsidRPr="000F70A3">
        <w:rPr>
          <w:i/>
          <w:color w:val="FF0000"/>
        </w:rPr>
        <w:t>Table 5</w:t>
      </w:r>
      <w:r w:rsidRPr="000F70A3">
        <w:t xml:space="preserve"> below. The pathogens of particular interest in this study with potential for selection for resistance were </w:t>
      </w:r>
      <w:r w:rsidRPr="000F70A3">
        <w:rPr>
          <w:i/>
          <w:iCs/>
        </w:rPr>
        <w:t>Haemophilus Influenzae</w:t>
      </w:r>
      <w:r w:rsidRPr="000F70A3">
        <w:t xml:space="preserve"> and </w:t>
      </w:r>
      <w:r w:rsidRPr="000F70A3">
        <w:rPr>
          <w:i/>
          <w:iCs/>
        </w:rPr>
        <w:t>Streptococcus Pneumoniae</w:t>
      </w:r>
      <w:r w:rsidRPr="000F70A3">
        <w:t>.</w:t>
      </w:r>
    </w:p>
    <w:p w14:paraId="00B0A19F" w14:textId="77777777" w:rsidR="000F70A3" w:rsidRPr="000F70A3" w:rsidRDefault="000F70A3" w:rsidP="007C1921">
      <w:pPr>
        <w:pStyle w:val="602TextfoTextstylesTextstyles"/>
      </w:pPr>
      <w:r w:rsidRPr="000F70A3">
        <w:t xml:space="preserve">The overall prevalence of </w:t>
      </w:r>
      <w:r w:rsidRPr="000F70A3">
        <w:rPr>
          <w:i/>
          <w:iCs/>
        </w:rPr>
        <w:t xml:space="preserve">Haemophilus Influenzae </w:t>
      </w:r>
      <w:r w:rsidRPr="000F70A3">
        <w:rPr>
          <w:iCs/>
        </w:rPr>
        <w:t>at baseline</w:t>
      </w:r>
      <w:r w:rsidRPr="000F70A3">
        <w:t xml:space="preserve"> was 23% (52/225). Despite randomisation the prevalence of bacterial species cultured from the throats of children at baseline differed significantly between Co-Amoxiclav and Placebo groups. By chance, the proportion of </w:t>
      </w:r>
      <w:r w:rsidRPr="000F70A3">
        <w:rPr>
          <w:i/>
          <w:iCs/>
        </w:rPr>
        <w:t>Haemophilus Influenzae</w:t>
      </w:r>
      <w:r w:rsidRPr="000F70A3">
        <w:t xml:space="preserve"> isolates was greater in placebo group than the Co-Amoxiclav group at baseline (29% vs. 18% respectively, ChiSq = 4.03, </w:t>
      </w:r>
      <w:r w:rsidRPr="000F70A3">
        <w:rPr>
          <w:i/>
          <w:color w:val="00B0F0"/>
        </w:rPr>
        <w:t xml:space="preserve">p = </w:t>
      </w:r>
      <w:r w:rsidRPr="000F70A3">
        <w:t>0.0447). However, there were no statistically significant differences in prevalence of this species at 3, 6, or 12 months between the two randomised arms.</w:t>
      </w:r>
    </w:p>
    <w:p w14:paraId="133501FE" w14:textId="77777777" w:rsidR="000F70A3" w:rsidRPr="000F70A3" w:rsidRDefault="000F70A3" w:rsidP="007C1921">
      <w:pPr>
        <w:pStyle w:val="602TextfoTextstylesTextstyles"/>
      </w:pPr>
      <w:r w:rsidRPr="000F70A3">
        <w:t xml:space="preserve">The prevalence of </w:t>
      </w:r>
      <w:r w:rsidRPr="000F70A3">
        <w:rPr>
          <w:i/>
          <w:iCs/>
        </w:rPr>
        <w:t>Streptococcus Pneumoniae</w:t>
      </w:r>
      <w:r w:rsidRPr="000F70A3">
        <w:t xml:space="preserve"> was very low being cultured form only one participant at baseline and at 3months. This may be indicative of the success of the childhood Pneumococcal vaccine programme.</w:t>
      </w:r>
    </w:p>
    <w:p w14:paraId="739A2DB6" w14:textId="3959F082" w:rsidR="000F70A3" w:rsidRPr="000F70A3" w:rsidRDefault="007C1921" w:rsidP="000F70A3">
      <w:pPr>
        <w:pStyle w:val="70TablelegendTablesTableFigureBoxstyles"/>
        <w:rPr>
          <w:rFonts w:eastAsia="DengXian"/>
          <w:lang w:eastAsia="en-GB" w:bidi="hi-IN"/>
        </w:rPr>
      </w:pPr>
      <w:r w:rsidRPr="007C1921">
        <w:rPr>
          <w:rFonts w:eastAsia="DengXian"/>
          <w:b/>
        </w:rPr>
        <w:t>TABLE 5</w:t>
      </w:r>
      <w:r w:rsidRPr="007C1921">
        <w:rPr>
          <w:rFonts w:eastAsia="DengXian"/>
          <w:b/>
        </w:rPr>
        <w:t> </w:t>
      </w:r>
      <w:r>
        <w:rPr>
          <w:rFonts w:eastAsia="DengXian"/>
          <w:lang w:eastAsia="en-GB" w:bidi="hi-IN"/>
        </w:rPr>
        <w:t>prevalence of isolates</w:t>
      </w:r>
    </w:p>
    <w:tbl>
      <w:tblPr>
        <w:tblW w:w="0" w:type="auto"/>
        <w:tblCellMar>
          <w:top w:w="40" w:type="dxa"/>
          <w:left w:w="60" w:type="dxa"/>
          <w:bottom w:w="40" w:type="dxa"/>
          <w:right w:w="60" w:type="dxa"/>
        </w:tblCellMar>
        <w:tblLook w:val="04A0" w:firstRow="1" w:lastRow="0" w:firstColumn="1" w:lastColumn="0" w:noHBand="0" w:noVBand="1"/>
      </w:tblPr>
      <w:tblGrid>
        <w:gridCol w:w="2041"/>
        <w:gridCol w:w="834"/>
        <w:gridCol w:w="867"/>
        <w:gridCol w:w="867"/>
        <w:gridCol w:w="961"/>
        <w:gridCol w:w="834"/>
        <w:gridCol w:w="867"/>
        <w:gridCol w:w="867"/>
        <w:gridCol w:w="961"/>
      </w:tblGrid>
      <w:tr w:rsidR="000F70A3" w:rsidRPr="000F70A3" w14:paraId="56B66C1D" w14:textId="77777777" w:rsidTr="0059567E">
        <w:trPr>
          <w:cantSplit/>
        </w:trPr>
        <w:tc>
          <w:tcPr>
            <w:tcW w:w="0" w:type="auto"/>
            <w:shd w:val="clear" w:color="auto" w:fill="D5DCE4"/>
          </w:tcPr>
          <w:p w14:paraId="7CD88C8C" w14:textId="77777777" w:rsidR="000F70A3" w:rsidRPr="000F70A3" w:rsidRDefault="000F70A3" w:rsidP="007C1921">
            <w:pPr>
              <w:pStyle w:val="710TableheadTablesTableFigureBoxstyles"/>
            </w:pPr>
          </w:p>
        </w:tc>
        <w:tc>
          <w:tcPr>
            <w:tcW w:w="0" w:type="auto"/>
            <w:gridSpan w:val="4"/>
            <w:shd w:val="clear" w:color="auto" w:fill="D5DCE4"/>
          </w:tcPr>
          <w:p w14:paraId="1A94CEF9" w14:textId="77777777" w:rsidR="000F70A3" w:rsidRPr="000F70A3" w:rsidRDefault="000F70A3" w:rsidP="007C1921">
            <w:pPr>
              <w:pStyle w:val="705TableheadgroupTablesTableFigureBoxstyles"/>
            </w:pPr>
            <w:r w:rsidRPr="000F70A3">
              <w:t>Co-Amoxiclav</w:t>
            </w:r>
          </w:p>
        </w:tc>
        <w:tc>
          <w:tcPr>
            <w:tcW w:w="0" w:type="auto"/>
            <w:gridSpan w:val="4"/>
            <w:shd w:val="clear" w:color="auto" w:fill="D5DCE4"/>
          </w:tcPr>
          <w:p w14:paraId="59D4E086" w14:textId="77777777" w:rsidR="000F70A3" w:rsidRPr="000F70A3" w:rsidRDefault="000F70A3" w:rsidP="007C1921">
            <w:pPr>
              <w:pStyle w:val="705TableheadgroupTablesTableFigureBoxstyles"/>
            </w:pPr>
            <w:r w:rsidRPr="000F70A3">
              <w:t>Placebo</w:t>
            </w:r>
          </w:p>
        </w:tc>
      </w:tr>
      <w:tr w:rsidR="000F70A3" w:rsidRPr="000F70A3" w14:paraId="0A0E3B09" w14:textId="77777777" w:rsidTr="0059567E">
        <w:trPr>
          <w:cantSplit/>
        </w:trPr>
        <w:tc>
          <w:tcPr>
            <w:tcW w:w="0" w:type="auto"/>
            <w:shd w:val="clear" w:color="auto" w:fill="D5DCE4"/>
          </w:tcPr>
          <w:p w14:paraId="2F5E82E8" w14:textId="77777777" w:rsidR="000F70A3" w:rsidRPr="000F70A3" w:rsidRDefault="000F70A3" w:rsidP="007C1921">
            <w:pPr>
              <w:pStyle w:val="710TableheadTablesTableFigureBoxstyles"/>
            </w:pPr>
          </w:p>
        </w:tc>
        <w:tc>
          <w:tcPr>
            <w:tcW w:w="0" w:type="auto"/>
            <w:gridSpan w:val="4"/>
            <w:shd w:val="clear" w:color="auto" w:fill="D5DCE4"/>
          </w:tcPr>
          <w:p w14:paraId="57D0C71C" w14:textId="77777777" w:rsidR="000F70A3" w:rsidRPr="000F70A3" w:rsidRDefault="000F70A3" w:rsidP="007C1921">
            <w:pPr>
              <w:pStyle w:val="705TableheadgroupTablesTableFigureBoxstyles"/>
            </w:pPr>
          </w:p>
        </w:tc>
        <w:tc>
          <w:tcPr>
            <w:tcW w:w="0" w:type="auto"/>
            <w:gridSpan w:val="4"/>
            <w:shd w:val="clear" w:color="auto" w:fill="D5DCE4"/>
          </w:tcPr>
          <w:p w14:paraId="7F736C49" w14:textId="77777777" w:rsidR="000F70A3" w:rsidRPr="000F70A3" w:rsidRDefault="000F70A3" w:rsidP="007C1921">
            <w:pPr>
              <w:pStyle w:val="705TableheadgroupTablesTableFigureBoxstyles"/>
            </w:pPr>
          </w:p>
        </w:tc>
      </w:tr>
      <w:tr w:rsidR="000F70A3" w:rsidRPr="000F70A3" w14:paraId="084701B8" w14:textId="77777777" w:rsidTr="0059567E">
        <w:trPr>
          <w:cantSplit/>
        </w:trPr>
        <w:tc>
          <w:tcPr>
            <w:tcW w:w="0" w:type="auto"/>
            <w:shd w:val="clear" w:color="auto" w:fill="D5DCE4"/>
          </w:tcPr>
          <w:p w14:paraId="5EFB8E53" w14:textId="77777777" w:rsidR="000F70A3" w:rsidRPr="000F70A3" w:rsidRDefault="000F70A3" w:rsidP="007C1921">
            <w:pPr>
              <w:pStyle w:val="710TableheadTablesTableFigureBoxstyles"/>
            </w:pPr>
          </w:p>
        </w:tc>
        <w:tc>
          <w:tcPr>
            <w:tcW w:w="0" w:type="auto"/>
            <w:shd w:val="clear" w:color="auto" w:fill="D5DCE4"/>
          </w:tcPr>
          <w:p w14:paraId="738FFFFC" w14:textId="77777777" w:rsidR="000F70A3" w:rsidRPr="000F70A3" w:rsidRDefault="000F70A3" w:rsidP="007C1921">
            <w:pPr>
              <w:pStyle w:val="710TableheadTablesTableFigureBoxstyles"/>
            </w:pPr>
            <w:r w:rsidRPr="000F70A3">
              <w:t>Baseline</w:t>
            </w:r>
          </w:p>
        </w:tc>
        <w:tc>
          <w:tcPr>
            <w:tcW w:w="0" w:type="auto"/>
            <w:shd w:val="clear" w:color="auto" w:fill="D5DCE4"/>
          </w:tcPr>
          <w:p w14:paraId="765C4DB8" w14:textId="77777777" w:rsidR="000F70A3" w:rsidRPr="000F70A3" w:rsidRDefault="000F70A3" w:rsidP="007C1921">
            <w:pPr>
              <w:pStyle w:val="710TableheadTablesTableFigureBoxstyles"/>
            </w:pPr>
            <w:r w:rsidRPr="000F70A3">
              <w:t>3 Months</w:t>
            </w:r>
          </w:p>
        </w:tc>
        <w:tc>
          <w:tcPr>
            <w:tcW w:w="0" w:type="auto"/>
            <w:shd w:val="clear" w:color="auto" w:fill="D5DCE4"/>
          </w:tcPr>
          <w:p w14:paraId="4E1E90B1" w14:textId="77777777" w:rsidR="000F70A3" w:rsidRPr="000F70A3" w:rsidRDefault="000F70A3" w:rsidP="007C1921">
            <w:pPr>
              <w:pStyle w:val="710TableheadTablesTableFigureBoxstyles"/>
            </w:pPr>
            <w:r w:rsidRPr="000F70A3">
              <w:t>6 Months</w:t>
            </w:r>
          </w:p>
        </w:tc>
        <w:tc>
          <w:tcPr>
            <w:tcW w:w="0" w:type="auto"/>
            <w:shd w:val="clear" w:color="auto" w:fill="D5DCE4"/>
          </w:tcPr>
          <w:p w14:paraId="05A1B218" w14:textId="77777777" w:rsidR="000F70A3" w:rsidRPr="000F70A3" w:rsidRDefault="000F70A3" w:rsidP="007C1921">
            <w:pPr>
              <w:pStyle w:val="710TableheadTablesTableFigureBoxstyles"/>
            </w:pPr>
            <w:r w:rsidRPr="000F70A3">
              <w:t>12 Months</w:t>
            </w:r>
          </w:p>
        </w:tc>
        <w:tc>
          <w:tcPr>
            <w:tcW w:w="0" w:type="auto"/>
            <w:shd w:val="clear" w:color="auto" w:fill="D5DCE4"/>
          </w:tcPr>
          <w:p w14:paraId="2739E364" w14:textId="77777777" w:rsidR="000F70A3" w:rsidRPr="000F70A3" w:rsidRDefault="000F70A3" w:rsidP="007C1921">
            <w:pPr>
              <w:pStyle w:val="710TableheadTablesTableFigureBoxstyles"/>
            </w:pPr>
            <w:r w:rsidRPr="000F70A3">
              <w:t>Baseline</w:t>
            </w:r>
          </w:p>
        </w:tc>
        <w:tc>
          <w:tcPr>
            <w:tcW w:w="0" w:type="auto"/>
            <w:shd w:val="clear" w:color="auto" w:fill="D5DCE4"/>
          </w:tcPr>
          <w:p w14:paraId="72D52E4B" w14:textId="77777777" w:rsidR="000F70A3" w:rsidRPr="000F70A3" w:rsidRDefault="000F70A3" w:rsidP="007C1921">
            <w:pPr>
              <w:pStyle w:val="710TableheadTablesTableFigureBoxstyles"/>
            </w:pPr>
            <w:r w:rsidRPr="000F70A3">
              <w:t>3 Months</w:t>
            </w:r>
          </w:p>
        </w:tc>
        <w:tc>
          <w:tcPr>
            <w:tcW w:w="0" w:type="auto"/>
            <w:shd w:val="clear" w:color="auto" w:fill="D5DCE4"/>
          </w:tcPr>
          <w:p w14:paraId="775DF192" w14:textId="77777777" w:rsidR="000F70A3" w:rsidRPr="000F70A3" w:rsidRDefault="000F70A3" w:rsidP="007C1921">
            <w:pPr>
              <w:pStyle w:val="710TableheadTablesTableFigureBoxstyles"/>
            </w:pPr>
            <w:r w:rsidRPr="000F70A3">
              <w:t>6 Months</w:t>
            </w:r>
          </w:p>
        </w:tc>
        <w:tc>
          <w:tcPr>
            <w:tcW w:w="0" w:type="auto"/>
            <w:shd w:val="clear" w:color="auto" w:fill="D5DCE4"/>
          </w:tcPr>
          <w:p w14:paraId="6A0977D4" w14:textId="77777777" w:rsidR="000F70A3" w:rsidRPr="000F70A3" w:rsidRDefault="000F70A3" w:rsidP="007C1921">
            <w:pPr>
              <w:pStyle w:val="710TableheadTablesTableFigureBoxstyles"/>
            </w:pPr>
            <w:r w:rsidRPr="000F70A3">
              <w:t>12 Months</w:t>
            </w:r>
          </w:p>
        </w:tc>
      </w:tr>
      <w:tr w:rsidR="000F70A3" w:rsidRPr="000F70A3" w14:paraId="603A7DED" w14:textId="77777777" w:rsidTr="0059567E">
        <w:trPr>
          <w:cantSplit/>
        </w:trPr>
        <w:tc>
          <w:tcPr>
            <w:tcW w:w="0" w:type="auto"/>
            <w:shd w:val="clear" w:color="auto" w:fill="D5DCE4"/>
          </w:tcPr>
          <w:p w14:paraId="2719B36E" w14:textId="77777777" w:rsidR="000F70A3" w:rsidRPr="000F70A3" w:rsidRDefault="000F70A3" w:rsidP="007C1921">
            <w:pPr>
              <w:pStyle w:val="710TableheadTablesTableFigureBoxstyles"/>
            </w:pPr>
          </w:p>
        </w:tc>
        <w:tc>
          <w:tcPr>
            <w:tcW w:w="0" w:type="auto"/>
            <w:shd w:val="clear" w:color="auto" w:fill="D5DCE4"/>
          </w:tcPr>
          <w:p w14:paraId="200556A8" w14:textId="77777777" w:rsidR="000F70A3" w:rsidRPr="000F70A3" w:rsidRDefault="000F70A3" w:rsidP="007C1921">
            <w:pPr>
              <w:pStyle w:val="710TableheadTablesTableFigureBoxstyles"/>
            </w:pPr>
            <w:r w:rsidRPr="000F70A3">
              <w:t>(N = 114)</w:t>
            </w:r>
          </w:p>
        </w:tc>
        <w:tc>
          <w:tcPr>
            <w:tcW w:w="0" w:type="auto"/>
            <w:shd w:val="clear" w:color="auto" w:fill="D5DCE4"/>
          </w:tcPr>
          <w:p w14:paraId="07DA40C1" w14:textId="77777777" w:rsidR="000F70A3" w:rsidRPr="000F70A3" w:rsidRDefault="000F70A3" w:rsidP="007C1921">
            <w:pPr>
              <w:pStyle w:val="710TableheadTablesTableFigureBoxstyles"/>
            </w:pPr>
            <w:r w:rsidRPr="000F70A3">
              <w:t>(N = 55)</w:t>
            </w:r>
          </w:p>
        </w:tc>
        <w:tc>
          <w:tcPr>
            <w:tcW w:w="0" w:type="auto"/>
            <w:shd w:val="clear" w:color="auto" w:fill="D5DCE4"/>
          </w:tcPr>
          <w:p w14:paraId="5AF2D7CC" w14:textId="77777777" w:rsidR="000F70A3" w:rsidRPr="000F70A3" w:rsidRDefault="000F70A3" w:rsidP="007C1921">
            <w:pPr>
              <w:pStyle w:val="710TableheadTablesTableFigureBoxstyles"/>
            </w:pPr>
            <w:r w:rsidRPr="000F70A3">
              <w:t>(N = 47)</w:t>
            </w:r>
          </w:p>
        </w:tc>
        <w:tc>
          <w:tcPr>
            <w:tcW w:w="0" w:type="auto"/>
            <w:shd w:val="clear" w:color="auto" w:fill="D5DCE4"/>
          </w:tcPr>
          <w:p w14:paraId="314D82FA" w14:textId="77777777" w:rsidR="000F70A3" w:rsidRPr="000F70A3" w:rsidRDefault="000F70A3" w:rsidP="007C1921">
            <w:pPr>
              <w:pStyle w:val="710TableheadTablesTableFigureBoxstyles"/>
            </w:pPr>
            <w:r w:rsidRPr="000F70A3">
              <w:t>(N = 47)</w:t>
            </w:r>
          </w:p>
        </w:tc>
        <w:tc>
          <w:tcPr>
            <w:tcW w:w="0" w:type="auto"/>
            <w:shd w:val="clear" w:color="auto" w:fill="D5DCE4"/>
          </w:tcPr>
          <w:p w14:paraId="05A690CF" w14:textId="77777777" w:rsidR="000F70A3" w:rsidRPr="000F70A3" w:rsidRDefault="000F70A3" w:rsidP="007C1921">
            <w:pPr>
              <w:pStyle w:val="710TableheadTablesTableFigureBoxstyles"/>
            </w:pPr>
            <w:r w:rsidRPr="000F70A3">
              <w:t>(N = 111)</w:t>
            </w:r>
          </w:p>
        </w:tc>
        <w:tc>
          <w:tcPr>
            <w:tcW w:w="0" w:type="auto"/>
            <w:shd w:val="clear" w:color="auto" w:fill="D5DCE4"/>
          </w:tcPr>
          <w:p w14:paraId="620DFC76" w14:textId="77777777" w:rsidR="000F70A3" w:rsidRPr="000F70A3" w:rsidRDefault="000F70A3" w:rsidP="007C1921">
            <w:pPr>
              <w:pStyle w:val="710TableheadTablesTableFigureBoxstyles"/>
            </w:pPr>
            <w:r w:rsidRPr="000F70A3">
              <w:t>(N = 45)</w:t>
            </w:r>
          </w:p>
        </w:tc>
        <w:tc>
          <w:tcPr>
            <w:tcW w:w="0" w:type="auto"/>
            <w:shd w:val="clear" w:color="auto" w:fill="D5DCE4"/>
          </w:tcPr>
          <w:p w14:paraId="4D9B1B99" w14:textId="77777777" w:rsidR="000F70A3" w:rsidRPr="000F70A3" w:rsidRDefault="000F70A3" w:rsidP="007C1921">
            <w:pPr>
              <w:pStyle w:val="710TableheadTablesTableFigureBoxstyles"/>
            </w:pPr>
            <w:r w:rsidRPr="000F70A3">
              <w:t>(N = 45)</w:t>
            </w:r>
          </w:p>
        </w:tc>
        <w:tc>
          <w:tcPr>
            <w:tcW w:w="0" w:type="auto"/>
            <w:shd w:val="clear" w:color="auto" w:fill="D5DCE4"/>
          </w:tcPr>
          <w:p w14:paraId="527EA987" w14:textId="77777777" w:rsidR="000F70A3" w:rsidRPr="000F70A3" w:rsidRDefault="000F70A3" w:rsidP="007C1921">
            <w:pPr>
              <w:pStyle w:val="710TableheadTablesTableFigureBoxstyles"/>
            </w:pPr>
            <w:r w:rsidRPr="000F70A3">
              <w:t>(N = 46)</w:t>
            </w:r>
          </w:p>
        </w:tc>
      </w:tr>
      <w:tr w:rsidR="000F70A3" w:rsidRPr="000F70A3" w14:paraId="63E268A5" w14:textId="77777777" w:rsidTr="0059567E">
        <w:trPr>
          <w:cantSplit/>
        </w:trPr>
        <w:tc>
          <w:tcPr>
            <w:tcW w:w="0" w:type="auto"/>
            <w:shd w:val="clear" w:color="auto" w:fill="auto"/>
          </w:tcPr>
          <w:p w14:paraId="3EFDDDCA" w14:textId="77777777" w:rsidR="000F70A3" w:rsidRPr="007C1921" w:rsidRDefault="000F70A3" w:rsidP="007C1921">
            <w:pPr>
              <w:pStyle w:val="72TabletextTablesTableFigureBoxstyles"/>
              <w:rPr>
                <w:b/>
              </w:rPr>
            </w:pPr>
            <w:r w:rsidRPr="007C1921">
              <w:rPr>
                <w:b/>
              </w:rPr>
              <w:t>Haemophilusinfluenzae</w:t>
            </w:r>
          </w:p>
        </w:tc>
        <w:tc>
          <w:tcPr>
            <w:tcW w:w="0" w:type="auto"/>
            <w:shd w:val="clear" w:color="auto" w:fill="auto"/>
          </w:tcPr>
          <w:p w14:paraId="2C326F6B" w14:textId="77777777" w:rsidR="000F70A3" w:rsidRPr="000F70A3" w:rsidRDefault="000F70A3" w:rsidP="007C1921">
            <w:pPr>
              <w:pStyle w:val="72TabletextTablesTableFigureBoxstyles"/>
            </w:pPr>
            <w:r w:rsidRPr="000F70A3">
              <w:t>20</w:t>
            </w:r>
          </w:p>
        </w:tc>
        <w:tc>
          <w:tcPr>
            <w:tcW w:w="0" w:type="auto"/>
            <w:shd w:val="clear" w:color="auto" w:fill="auto"/>
          </w:tcPr>
          <w:p w14:paraId="25E917F7" w14:textId="77777777" w:rsidR="000F70A3" w:rsidRPr="000F70A3" w:rsidRDefault="000F70A3" w:rsidP="007C1921">
            <w:pPr>
              <w:pStyle w:val="72TabletextTablesTableFigureBoxstyles"/>
            </w:pPr>
            <w:r w:rsidRPr="000F70A3">
              <w:t>11</w:t>
            </w:r>
          </w:p>
        </w:tc>
        <w:tc>
          <w:tcPr>
            <w:tcW w:w="0" w:type="auto"/>
            <w:shd w:val="clear" w:color="auto" w:fill="auto"/>
          </w:tcPr>
          <w:p w14:paraId="7A492C21" w14:textId="77777777" w:rsidR="000F70A3" w:rsidRPr="000F70A3" w:rsidRDefault="000F70A3" w:rsidP="007C1921">
            <w:pPr>
              <w:pStyle w:val="72TabletextTablesTableFigureBoxstyles"/>
            </w:pPr>
            <w:r w:rsidRPr="000F70A3">
              <w:t>7</w:t>
            </w:r>
          </w:p>
        </w:tc>
        <w:tc>
          <w:tcPr>
            <w:tcW w:w="0" w:type="auto"/>
            <w:shd w:val="clear" w:color="auto" w:fill="auto"/>
          </w:tcPr>
          <w:p w14:paraId="642EE02D" w14:textId="77777777" w:rsidR="000F70A3" w:rsidRPr="000F70A3" w:rsidRDefault="000F70A3" w:rsidP="007C1921">
            <w:pPr>
              <w:pStyle w:val="72TabletextTablesTableFigureBoxstyles"/>
            </w:pPr>
            <w:r w:rsidRPr="000F70A3">
              <w:t>6</w:t>
            </w:r>
          </w:p>
        </w:tc>
        <w:tc>
          <w:tcPr>
            <w:tcW w:w="0" w:type="auto"/>
            <w:shd w:val="clear" w:color="auto" w:fill="auto"/>
          </w:tcPr>
          <w:p w14:paraId="755B17A7" w14:textId="77777777" w:rsidR="000F70A3" w:rsidRPr="000F70A3" w:rsidRDefault="000F70A3" w:rsidP="007C1921">
            <w:pPr>
              <w:pStyle w:val="72TabletextTablesTableFigureBoxstyles"/>
            </w:pPr>
            <w:r w:rsidRPr="000F70A3">
              <w:t>32</w:t>
            </w:r>
          </w:p>
        </w:tc>
        <w:tc>
          <w:tcPr>
            <w:tcW w:w="0" w:type="auto"/>
            <w:shd w:val="clear" w:color="auto" w:fill="auto"/>
          </w:tcPr>
          <w:p w14:paraId="42A764CB" w14:textId="77777777" w:rsidR="000F70A3" w:rsidRPr="000F70A3" w:rsidRDefault="000F70A3" w:rsidP="007C1921">
            <w:pPr>
              <w:pStyle w:val="72TabletextTablesTableFigureBoxstyles"/>
            </w:pPr>
            <w:r w:rsidRPr="000F70A3">
              <w:t>10</w:t>
            </w:r>
          </w:p>
        </w:tc>
        <w:tc>
          <w:tcPr>
            <w:tcW w:w="0" w:type="auto"/>
            <w:shd w:val="clear" w:color="auto" w:fill="auto"/>
          </w:tcPr>
          <w:p w14:paraId="2AD294CB" w14:textId="77777777" w:rsidR="000F70A3" w:rsidRPr="000F70A3" w:rsidRDefault="000F70A3" w:rsidP="007C1921">
            <w:pPr>
              <w:pStyle w:val="72TabletextTablesTableFigureBoxstyles"/>
            </w:pPr>
            <w:r w:rsidRPr="000F70A3">
              <w:t>12</w:t>
            </w:r>
          </w:p>
        </w:tc>
        <w:tc>
          <w:tcPr>
            <w:tcW w:w="0" w:type="auto"/>
            <w:shd w:val="clear" w:color="auto" w:fill="auto"/>
          </w:tcPr>
          <w:p w14:paraId="6BA2E970" w14:textId="77777777" w:rsidR="000F70A3" w:rsidRPr="000F70A3" w:rsidRDefault="000F70A3" w:rsidP="007C1921">
            <w:pPr>
              <w:pStyle w:val="72TabletextTablesTableFigureBoxstyles"/>
            </w:pPr>
            <w:r w:rsidRPr="000F70A3">
              <w:t>6</w:t>
            </w:r>
          </w:p>
        </w:tc>
      </w:tr>
      <w:tr w:rsidR="000F70A3" w:rsidRPr="000F70A3" w14:paraId="0168659F" w14:textId="77777777" w:rsidTr="0059567E">
        <w:trPr>
          <w:cantSplit/>
        </w:trPr>
        <w:tc>
          <w:tcPr>
            <w:tcW w:w="0" w:type="auto"/>
            <w:shd w:val="clear" w:color="auto" w:fill="auto"/>
          </w:tcPr>
          <w:p w14:paraId="7FD55EA0" w14:textId="77777777" w:rsidR="000F70A3" w:rsidRPr="007C1921" w:rsidRDefault="000F70A3" w:rsidP="007C1921">
            <w:pPr>
              <w:pStyle w:val="72TabletextTablesTableFigureBoxstyles"/>
              <w:rPr>
                <w:b/>
              </w:rPr>
            </w:pPr>
            <w:r w:rsidRPr="007C1921">
              <w:rPr>
                <w:b/>
              </w:rPr>
              <w:t>Streptococcus pneumoniae</w:t>
            </w:r>
          </w:p>
        </w:tc>
        <w:tc>
          <w:tcPr>
            <w:tcW w:w="0" w:type="auto"/>
            <w:shd w:val="clear" w:color="auto" w:fill="auto"/>
          </w:tcPr>
          <w:p w14:paraId="379C146A" w14:textId="77777777" w:rsidR="000F70A3" w:rsidRPr="000F70A3" w:rsidRDefault="000F70A3" w:rsidP="007C1921">
            <w:pPr>
              <w:pStyle w:val="72TabletextTablesTableFigureBoxstyles"/>
            </w:pPr>
            <w:r w:rsidRPr="000F70A3">
              <w:t>1</w:t>
            </w:r>
          </w:p>
        </w:tc>
        <w:tc>
          <w:tcPr>
            <w:tcW w:w="0" w:type="auto"/>
            <w:shd w:val="clear" w:color="auto" w:fill="auto"/>
          </w:tcPr>
          <w:p w14:paraId="79C7FCBF" w14:textId="77777777" w:rsidR="000F70A3" w:rsidRPr="000F70A3" w:rsidRDefault="000F70A3" w:rsidP="007C1921">
            <w:pPr>
              <w:pStyle w:val="72TabletextTablesTableFigureBoxstyles"/>
            </w:pPr>
            <w:r w:rsidRPr="000F70A3">
              <w:t>1</w:t>
            </w:r>
          </w:p>
        </w:tc>
        <w:tc>
          <w:tcPr>
            <w:tcW w:w="0" w:type="auto"/>
            <w:shd w:val="clear" w:color="auto" w:fill="auto"/>
          </w:tcPr>
          <w:p w14:paraId="08382E37" w14:textId="77777777" w:rsidR="000F70A3" w:rsidRPr="000F70A3" w:rsidRDefault="000F70A3" w:rsidP="007C1921">
            <w:pPr>
              <w:pStyle w:val="72TabletextTablesTableFigureBoxstyles"/>
            </w:pPr>
            <w:r w:rsidRPr="000F70A3">
              <w:t>0</w:t>
            </w:r>
          </w:p>
        </w:tc>
        <w:tc>
          <w:tcPr>
            <w:tcW w:w="0" w:type="auto"/>
            <w:shd w:val="clear" w:color="auto" w:fill="auto"/>
          </w:tcPr>
          <w:p w14:paraId="6E51AD26" w14:textId="77777777" w:rsidR="000F70A3" w:rsidRPr="000F70A3" w:rsidRDefault="000F70A3" w:rsidP="007C1921">
            <w:pPr>
              <w:pStyle w:val="72TabletextTablesTableFigureBoxstyles"/>
            </w:pPr>
            <w:r w:rsidRPr="000F70A3">
              <w:t>0</w:t>
            </w:r>
          </w:p>
        </w:tc>
        <w:tc>
          <w:tcPr>
            <w:tcW w:w="0" w:type="auto"/>
            <w:shd w:val="clear" w:color="auto" w:fill="auto"/>
          </w:tcPr>
          <w:p w14:paraId="4E6C7B59" w14:textId="77777777" w:rsidR="000F70A3" w:rsidRPr="000F70A3" w:rsidRDefault="000F70A3" w:rsidP="007C1921">
            <w:pPr>
              <w:pStyle w:val="72TabletextTablesTableFigureBoxstyles"/>
            </w:pPr>
            <w:r w:rsidRPr="000F70A3">
              <w:t>0</w:t>
            </w:r>
          </w:p>
        </w:tc>
        <w:tc>
          <w:tcPr>
            <w:tcW w:w="0" w:type="auto"/>
            <w:shd w:val="clear" w:color="auto" w:fill="auto"/>
          </w:tcPr>
          <w:p w14:paraId="32C4D894" w14:textId="77777777" w:rsidR="000F70A3" w:rsidRPr="000F70A3" w:rsidRDefault="000F70A3" w:rsidP="007C1921">
            <w:pPr>
              <w:pStyle w:val="72TabletextTablesTableFigureBoxstyles"/>
            </w:pPr>
            <w:r w:rsidRPr="000F70A3">
              <w:t>0</w:t>
            </w:r>
          </w:p>
        </w:tc>
        <w:tc>
          <w:tcPr>
            <w:tcW w:w="0" w:type="auto"/>
            <w:shd w:val="clear" w:color="auto" w:fill="auto"/>
          </w:tcPr>
          <w:p w14:paraId="44B57809" w14:textId="77777777" w:rsidR="000F70A3" w:rsidRPr="000F70A3" w:rsidRDefault="000F70A3" w:rsidP="007C1921">
            <w:pPr>
              <w:pStyle w:val="72TabletextTablesTableFigureBoxstyles"/>
            </w:pPr>
            <w:r w:rsidRPr="000F70A3">
              <w:t>0</w:t>
            </w:r>
          </w:p>
        </w:tc>
        <w:tc>
          <w:tcPr>
            <w:tcW w:w="0" w:type="auto"/>
            <w:shd w:val="clear" w:color="auto" w:fill="auto"/>
          </w:tcPr>
          <w:p w14:paraId="00CADC0C" w14:textId="77777777" w:rsidR="000F70A3" w:rsidRPr="000F70A3" w:rsidRDefault="000F70A3" w:rsidP="007C1921">
            <w:pPr>
              <w:pStyle w:val="72TabletextTablesTableFigureBoxstyles"/>
            </w:pPr>
            <w:r w:rsidRPr="000F70A3">
              <w:t>0</w:t>
            </w:r>
          </w:p>
        </w:tc>
      </w:tr>
      <w:tr w:rsidR="000F70A3" w:rsidRPr="000F70A3" w14:paraId="349AD699" w14:textId="77777777" w:rsidTr="0059567E">
        <w:trPr>
          <w:cantSplit/>
        </w:trPr>
        <w:tc>
          <w:tcPr>
            <w:tcW w:w="0" w:type="auto"/>
            <w:shd w:val="clear" w:color="auto" w:fill="auto"/>
          </w:tcPr>
          <w:p w14:paraId="1D0F2D27" w14:textId="77777777" w:rsidR="000F70A3" w:rsidRPr="007C1921" w:rsidRDefault="000F70A3" w:rsidP="007C1921">
            <w:pPr>
              <w:pStyle w:val="72TabletextTablesTableFigureBoxstyles"/>
              <w:rPr>
                <w:b/>
              </w:rPr>
            </w:pPr>
            <w:r w:rsidRPr="007C1921">
              <w:rPr>
                <w:b/>
                <w:i/>
                <w:color w:val="00B0F0"/>
              </w:rPr>
              <w:t>Staphylococcus aureus</w:t>
            </w:r>
          </w:p>
        </w:tc>
        <w:tc>
          <w:tcPr>
            <w:tcW w:w="0" w:type="auto"/>
            <w:shd w:val="clear" w:color="auto" w:fill="auto"/>
          </w:tcPr>
          <w:p w14:paraId="6A43EC78" w14:textId="77777777" w:rsidR="000F70A3" w:rsidRPr="000F70A3" w:rsidRDefault="000F70A3" w:rsidP="007C1921">
            <w:pPr>
              <w:pStyle w:val="72TabletextTablesTableFigureBoxstyles"/>
            </w:pPr>
            <w:r w:rsidRPr="000F70A3">
              <w:t>4</w:t>
            </w:r>
          </w:p>
        </w:tc>
        <w:tc>
          <w:tcPr>
            <w:tcW w:w="0" w:type="auto"/>
            <w:shd w:val="clear" w:color="auto" w:fill="auto"/>
          </w:tcPr>
          <w:p w14:paraId="4AD3AB18" w14:textId="77777777" w:rsidR="000F70A3" w:rsidRPr="000F70A3" w:rsidRDefault="000F70A3" w:rsidP="007C1921">
            <w:pPr>
              <w:pStyle w:val="72TabletextTablesTableFigureBoxstyles"/>
            </w:pPr>
            <w:r w:rsidRPr="000F70A3">
              <w:t>1</w:t>
            </w:r>
          </w:p>
        </w:tc>
        <w:tc>
          <w:tcPr>
            <w:tcW w:w="0" w:type="auto"/>
            <w:shd w:val="clear" w:color="auto" w:fill="auto"/>
          </w:tcPr>
          <w:p w14:paraId="3557A4AA" w14:textId="77777777" w:rsidR="000F70A3" w:rsidRPr="000F70A3" w:rsidRDefault="000F70A3" w:rsidP="007C1921">
            <w:pPr>
              <w:pStyle w:val="72TabletextTablesTableFigureBoxstyles"/>
            </w:pPr>
            <w:r w:rsidRPr="000F70A3">
              <w:t>2</w:t>
            </w:r>
          </w:p>
        </w:tc>
        <w:tc>
          <w:tcPr>
            <w:tcW w:w="0" w:type="auto"/>
            <w:shd w:val="clear" w:color="auto" w:fill="auto"/>
          </w:tcPr>
          <w:p w14:paraId="7E54EBA4" w14:textId="77777777" w:rsidR="000F70A3" w:rsidRPr="000F70A3" w:rsidRDefault="000F70A3" w:rsidP="007C1921">
            <w:pPr>
              <w:pStyle w:val="72TabletextTablesTableFigureBoxstyles"/>
            </w:pPr>
            <w:r w:rsidRPr="000F70A3">
              <w:t>0</w:t>
            </w:r>
          </w:p>
        </w:tc>
        <w:tc>
          <w:tcPr>
            <w:tcW w:w="0" w:type="auto"/>
            <w:shd w:val="clear" w:color="auto" w:fill="auto"/>
          </w:tcPr>
          <w:p w14:paraId="1AE0E346" w14:textId="77777777" w:rsidR="000F70A3" w:rsidRPr="000F70A3" w:rsidRDefault="000F70A3" w:rsidP="007C1921">
            <w:pPr>
              <w:pStyle w:val="72TabletextTablesTableFigureBoxstyles"/>
            </w:pPr>
            <w:r w:rsidRPr="000F70A3">
              <w:t>1</w:t>
            </w:r>
          </w:p>
        </w:tc>
        <w:tc>
          <w:tcPr>
            <w:tcW w:w="0" w:type="auto"/>
            <w:shd w:val="clear" w:color="auto" w:fill="auto"/>
          </w:tcPr>
          <w:p w14:paraId="407BAF19" w14:textId="77777777" w:rsidR="000F70A3" w:rsidRPr="000F70A3" w:rsidRDefault="000F70A3" w:rsidP="007C1921">
            <w:pPr>
              <w:pStyle w:val="72TabletextTablesTableFigureBoxstyles"/>
            </w:pPr>
            <w:r w:rsidRPr="000F70A3">
              <w:t>1</w:t>
            </w:r>
          </w:p>
        </w:tc>
        <w:tc>
          <w:tcPr>
            <w:tcW w:w="0" w:type="auto"/>
            <w:shd w:val="clear" w:color="auto" w:fill="auto"/>
          </w:tcPr>
          <w:p w14:paraId="63F93489" w14:textId="77777777" w:rsidR="000F70A3" w:rsidRPr="000F70A3" w:rsidRDefault="000F70A3" w:rsidP="007C1921">
            <w:pPr>
              <w:pStyle w:val="72TabletextTablesTableFigureBoxstyles"/>
            </w:pPr>
            <w:r w:rsidRPr="000F70A3">
              <w:t>0</w:t>
            </w:r>
          </w:p>
        </w:tc>
        <w:tc>
          <w:tcPr>
            <w:tcW w:w="0" w:type="auto"/>
            <w:shd w:val="clear" w:color="auto" w:fill="auto"/>
          </w:tcPr>
          <w:p w14:paraId="6A615F88" w14:textId="77777777" w:rsidR="000F70A3" w:rsidRPr="000F70A3" w:rsidRDefault="000F70A3" w:rsidP="007C1921">
            <w:pPr>
              <w:pStyle w:val="72TabletextTablesTableFigureBoxstyles"/>
            </w:pPr>
            <w:r w:rsidRPr="000F70A3">
              <w:t>0</w:t>
            </w:r>
          </w:p>
        </w:tc>
      </w:tr>
      <w:tr w:rsidR="000F70A3" w:rsidRPr="000F70A3" w14:paraId="1BE77ED2" w14:textId="77777777" w:rsidTr="0059567E">
        <w:trPr>
          <w:cantSplit/>
        </w:trPr>
        <w:tc>
          <w:tcPr>
            <w:tcW w:w="0" w:type="auto"/>
            <w:shd w:val="clear" w:color="auto" w:fill="auto"/>
          </w:tcPr>
          <w:p w14:paraId="33277E87" w14:textId="77777777" w:rsidR="000F70A3" w:rsidRPr="007C1921" w:rsidRDefault="000F70A3" w:rsidP="007C1921">
            <w:pPr>
              <w:pStyle w:val="72TabletextTablesTableFigureBoxstyles"/>
              <w:rPr>
                <w:b/>
              </w:rPr>
            </w:pPr>
            <w:r w:rsidRPr="007C1921">
              <w:rPr>
                <w:b/>
              </w:rPr>
              <w:t>Group A Streptococcus</w:t>
            </w:r>
          </w:p>
        </w:tc>
        <w:tc>
          <w:tcPr>
            <w:tcW w:w="0" w:type="auto"/>
            <w:shd w:val="clear" w:color="auto" w:fill="auto"/>
          </w:tcPr>
          <w:p w14:paraId="0D2DDDCF" w14:textId="77777777" w:rsidR="000F70A3" w:rsidRPr="000F70A3" w:rsidRDefault="000F70A3" w:rsidP="007C1921">
            <w:pPr>
              <w:pStyle w:val="72TabletextTablesTableFigureBoxstyles"/>
            </w:pPr>
            <w:r w:rsidRPr="000F70A3">
              <w:t>3</w:t>
            </w:r>
          </w:p>
        </w:tc>
        <w:tc>
          <w:tcPr>
            <w:tcW w:w="0" w:type="auto"/>
            <w:shd w:val="clear" w:color="auto" w:fill="auto"/>
          </w:tcPr>
          <w:p w14:paraId="33A2FCBB" w14:textId="77777777" w:rsidR="000F70A3" w:rsidRPr="000F70A3" w:rsidRDefault="000F70A3" w:rsidP="007C1921">
            <w:pPr>
              <w:pStyle w:val="72TabletextTablesTableFigureBoxstyles"/>
            </w:pPr>
            <w:r w:rsidRPr="000F70A3">
              <w:t>3</w:t>
            </w:r>
          </w:p>
        </w:tc>
        <w:tc>
          <w:tcPr>
            <w:tcW w:w="0" w:type="auto"/>
            <w:shd w:val="clear" w:color="auto" w:fill="auto"/>
          </w:tcPr>
          <w:p w14:paraId="0EC6640F" w14:textId="77777777" w:rsidR="000F70A3" w:rsidRPr="000F70A3" w:rsidRDefault="000F70A3" w:rsidP="007C1921">
            <w:pPr>
              <w:pStyle w:val="72TabletextTablesTableFigureBoxstyles"/>
            </w:pPr>
            <w:r w:rsidRPr="000F70A3">
              <w:t>0</w:t>
            </w:r>
          </w:p>
        </w:tc>
        <w:tc>
          <w:tcPr>
            <w:tcW w:w="0" w:type="auto"/>
            <w:shd w:val="clear" w:color="auto" w:fill="auto"/>
          </w:tcPr>
          <w:p w14:paraId="6BF949EB" w14:textId="77777777" w:rsidR="000F70A3" w:rsidRPr="000F70A3" w:rsidRDefault="000F70A3" w:rsidP="007C1921">
            <w:pPr>
              <w:pStyle w:val="72TabletextTablesTableFigureBoxstyles"/>
            </w:pPr>
            <w:r w:rsidRPr="000F70A3">
              <w:t>0</w:t>
            </w:r>
          </w:p>
        </w:tc>
        <w:tc>
          <w:tcPr>
            <w:tcW w:w="0" w:type="auto"/>
            <w:shd w:val="clear" w:color="auto" w:fill="auto"/>
          </w:tcPr>
          <w:p w14:paraId="5595BE98" w14:textId="77777777" w:rsidR="000F70A3" w:rsidRPr="000F70A3" w:rsidRDefault="000F70A3" w:rsidP="007C1921">
            <w:pPr>
              <w:pStyle w:val="72TabletextTablesTableFigureBoxstyles"/>
            </w:pPr>
            <w:r w:rsidRPr="000F70A3">
              <w:t>3</w:t>
            </w:r>
          </w:p>
        </w:tc>
        <w:tc>
          <w:tcPr>
            <w:tcW w:w="0" w:type="auto"/>
            <w:shd w:val="clear" w:color="auto" w:fill="auto"/>
          </w:tcPr>
          <w:p w14:paraId="6CBDC1BB" w14:textId="77777777" w:rsidR="000F70A3" w:rsidRPr="000F70A3" w:rsidRDefault="000F70A3" w:rsidP="007C1921">
            <w:pPr>
              <w:pStyle w:val="72TabletextTablesTableFigureBoxstyles"/>
            </w:pPr>
            <w:r w:rsidRPr="000F70A3">
              <w:t>6</w:t>
            </w:r>
          </w:p>
        </w:tc>
        <w:tc>
          <w:tcPr>
            <w:tcW w:w="0" w:type="auto"/>
            <w:shd w:val="clear" w:color="auto" w:fill="auto"/>
          </w:tcPr>
          <w:p w14:paraId="46BE0E15" w14:textId="77777777" w:rsidR="000F70A3" w:rsidRPr="000F70A3" w:rsidRDefault="000F70A3" w:rsidP="007C1921">
            <w:pPr>
              <w:pStyle w:val="72TabletextTablesTableFigureBoxstyles"/>
            </w:pPr>
            <w:r w:rsidRPr="000F70A3">
              <w:t>1</w:t>
            </w:r>
          </w:p>
        </w:tc>
        <w:tc>
          <w:tcPr>
            <w:tcW w:w="0" w:type="auto"/>
            <w:shd w:val="clear" w:color="auto" w:fill="auto"/>
          </w:tcPr>
          <w:p w14:paraId="042F0BE2" w14:textId="77777777" w:rsidR="000F70A3" w:rsidRPr="000F70A3" w:rsidRDefault="000F70A3" w:rsidP="007C1921">
            <w:pPr>
              <w:pStyle w:val="72TabletextTablesTableFigureBoxstyles"/>
            </w:pPr>
            <w:r w:rsidRPr="000F70A3">
              <w:t>1</w:t>
            </w:r>
          </w:p>
        </w:tc>
      </w:tr>
      <w:tr w:rsidR="000F70A3" w:rsidRPr="000F70A3" w14:paraId="7630AD28" w14:textId="77777777" w:rsidTr="0059567E">
        <w:trPr>
          <w:cantSplit/>
        </w:trPr>
        <w:tc>
          <w:tcPr>
            <w:tcW w:w="0" w:type="auto"/>
            <w:shd w:val="clear" w:color="auto" w:fill="auto"/>
          </w:tcPr>
          <w:p w14:paraId="1AF90E17" w14:textId="77777777" w:rsidR="000F70A3" w:rsidRPr="007C1921" w:rsidRDefault="000F70A3" w:rsidP="007C1921">
            <w:pPr>
              <w:pStyle w:val="72TabletextTablesTableFigureBoxstyles"/>
              <w:rPr>
                <w:b/>
              </w:rPr>
            </w:pPr>
            <w:r w:rsidRPr="007C1921">
              <w:rPr>
                <w:b/>
              </w:rPr>
              <w:t>Group C Streptococcus</w:t>
            </w:r>
          </w:p>
        </w:tc>
        <w:tc>
          <w:tcPr>
            <w:tcW w:w="0" w:type="auto"/>
            <w:shd w:val="clear" w:color="auto" w:fill="auto"/>
          </w:tcPr>
          <w:p w14:paraId="5F9E4CFD" w14:textId="77777777" w:rsidR="000F70A3" w:rsidRPr="000F70A3" w:rsidRDefault="000F70A3" w:rsidP="007C1921">
            <w:pPr>
              <w:pStyle w:val="72TabletextTablesTableFigureBoxstyles"/>
            </w:pPr>
            <w:r w:rsidRPr="000F70A3">
              <w:t>1</w:t>
            </w:r>
          </w:p>
        </w:tc>
        <w:tc>
          <w:tcPr>
            <w:tcW w:w="0" w:type="auto"/>
            <w:shd w:val="clear" w:color="auto" w:fill="auto"/>
          </w:tcPr>
          <w:p w14:paraId="56FC6E6F" w14:textId="77777777" w:rsidR="000F70A3" w:rsidRPr="000F70A3" w:rsidRDefault="000F70A3" w:rsidP="007C1921">
            <w:pPr>
              <w:pStyle w:val="72TabletextTablesTableFigureBoxstyles"/>
            </w:pPr>
            <w:r w:rsidRPr="000F70A3">
              <w:t>0</w:t>
            </w:r>
          </w:p>
        </w:tc>
        <w:tc>
          <w:tcPr>
            <w:tcW w:w="0" w:type="auto"/>
            <w:shd w:val="clear" w:color="auto" w:fill="auto"/>
          </w:tcPr>
          <w:p w14:paraId="2D258113" w14:textId="77777777" w:rsidR="000F70A3" w:rsidRPr="000F70A3" w:rsidRDefault="000F70A3" w:rsidP="007C1921">
            <w:pPr>
              <w:pStyle w:val="72TabletextTablesTableFigureBoxstyles"/>
            </w:pPr>
            <w:r w:rsidRPr="000F70A3">
              <w:t>0</w:t>
            </w:r>
          </w:p>
        </w:tc>
        <w:tc>
          <w:tcPr>
            <w:tcW w:w="0" w:type="auto"/>
            <w:shd w:val="clear" w:color="auto" w:fill="auto"/>
          </w:tcPr>
          <w:p w14:paraId="12D58D32" w14:textId="77777777" w:rsidR="000F70A3" w:rsidRPr="000F70A3" w:rsidRDefault="000F70A3" w:rsidP="007C1921">
            <w:pPr>
              <w:pStyle w:val="72TabletextTablesTableFigureBoxstyles"/>
            </w:pPr>
            <w:r w:rsidRPr="000F70A3">
              <w:t>0</w:t>
            </w:r>
          </w:p>
        </w:tc>
        <w:tc>
          <w:tcPr>
            <w:tcW w:w="0" w:type="auto"/>
            <w:shd w:val="clear" w:color="auto" w:fill="auto"/>
          </w:tcPr>
          <w:p w14:paraId="25968218" w14:textId="77777777" w:rsidR="000F70A3" w:rsidRPr="000F70A3" w:rsidRDefault="000F70A3" w:rsidP="007C1921">
            <w:pPr>
              <w:pStyle w:val="72TabletextTablesTableFigureBoxstyles"/>
            </w:pPr>
            <w:r w:rsidRPr="000F70A3">
              <w:t>0</w:t>
            </w:r>
          </w:p>
        </w:tc>
        <w:tc>
          <w:tcPr>
            <w:tcW w:w="0" w:type="auto"/>
            <w:shd w:val="clear" w:color="auto" w:fill="auto"/>
          </w:tcPr>
          <w:p w14:paraId="1A099EC6" w14:textId="77777777" w:rsidR="000F70A3" w:rsidRPr="000F70A3" w:rsidRDefault="000F70A3" w:rsidP="007C1921">
            <w:pPr>
              <w:pStyle w:val="72TabletextTablesTableFigureBoxstyles"/>
            </w:pPr>
            <w:r w:rsidRPr="000F70A3">
              <w:t>0</w:t>
            </w:r>
          </w:p>
        </w:tc>
        <w:tc>
          <w:tcPr>
            <w:tcW w:w="0" w:type="auto"/>
            <w:shd w:val="clear" w:color="auto" w:fill="auto"/>
          </w:tcPr>
          <w:p w14:paraId="7E1CD36A" w14:textId="77777777" w:rsidR="000F70A3" w:rsidRPr="000F70A3" w:rsidRDefault="000F70A3" w:rsidP="007C1921">
            <w:pPr>
              <w:pStyle w:val="72TabletextTablesTableFigureBoxstyles"/>
            </w:pPr>
            <w:r w:rsidRPr="000F70A3">
              <w:t>0</w:t>
            </w:r>
          </w:p>
        </w:tc>
        <w:tc>
          <w:tcPr>
            <w:tcW w:w="0" w:type="auto"/>
            <w:shd w:val="clear" w:color="auto" w:fill="auto"/>
          </w:tcPr>
          <w:p w14:paraId="32E78045" w14:textId="77777777" w:rsidR="000F70A3" w:rsidRPr="000F70A3" w:rsidRDefault="000F70A3" w:rsidP="007C1921">
            <w:pPr>
              <w:pStyle w:val="72TabletextTablesTableFigureBoxstyles"/>
            </w:pPr>
            <w:r w:rsidRPr="000F70A3">
              <w:t>0</w:t>
            </w:r>
          </w:p>
        </w:tc>
      </w:tr>
      <w:tr w:rsidR="000F70A3" w:rsidRPr="000F70A3" w14:paraId="4840AFAF" w14:textId="77777777" w:rsidTr="0059567E">
        <w:trPr>
          <w:cantSplit/>
        </w:trPr>
        <w:tc>
          <w:tcPr>
            <w:tcW w:w="0" w:type="auto"/>
            <w:shd w:val="clear" w:color="auto" w:fill="auto"/>
          </w:tcPr>
          <w:p w14:paraId="446FCC6B" w14:textId="77777777" w:rsidR="000F70A3" w:rsidRPr="007C1921" w:rsidRDefault="000F70A3" w:rsidP="007C1921">
            <w:pPr>
              <w:pStyle w:val="72TabletextTablesTableFigureBoxstyles"/>
              <w:rPr>
                <w:b/>
              </w:rPr>
            </w:pPr>
            <w:r w:rsidRPr="007C1921">
              <w:rPr>
                <w:b/>
              </w:rPr>
              <w:t>Group G Streptococcus</w:t>
            </w:r>
          </w:p>
        </w:tc>
        <w:tc>
          <w:tcPr>
            <w:tcW w:w="0" w:type="auto"/>
            <w:shd w:val="clear" w:color="auto" w:fill="auto"/>
          </w:tcPr>
          <w:p w14:paraId="10020C80" w14:textId="77777777" w:rsidR="000F70A3" w:rsidRPr="000F70A3" w:rsidRDefault="000F70A3" w:rsidP="007C1921">
            <w:pPr>
              <w:pStyle w:val="72TabletextTablesTableFigureBoxstyles"/>
            </w:pPr>
            <w:r w:rsidRPr="000F70A3">
              <w:t>0</w:t>
            </w:r>
          </w:p>
        </w:tc>
        <w:tc>
          <w:tcPr>
            <w:tcW w:w="0" w:type="auto"/>
            <w:shd w:val="clear" w:color="auto" w:fill="auto"/>
          </w:tcPr>
          <w:p w14:paraId="39A645FE" w14:textId="77777777" w:rsidR="000F70A3" w:rsidRPr="000F70A3" w:rsidRDefault="000F70A3" w:rsidP="007C1921">
            <w:pPr>
              <w:pStyle w:val="72TabletextTablesTableFigureBoxstyles"/>
            </w:pPr>
            <w:r w:rsidRPr="000F70A3">
              <w:t>0</w:t>
            </w:r>
          </w:p>
        </w:tc>
        <w:tc>
          <w:tcPr>
            <w:tcW w:w="0" w:type="auto"/>
            <w:shd w:val="clear" w:color="auto" w:fill="auto"/>
          </w:tcPr>
          <w:p w14:paraId="3AD803A8" w14:textId="77777777" w:rsidR="000F70A3" w:rsidRPr="000F70A3" w:rsidRDefault="000F70A3" w:rsidP="007C1921">
            <w:pPr>
              <w:pStyle w:val="72TabletextTablesTableFigureBoxstyles"/>
            </w:pPr>
            <w:r w:rsidRPr="000F70A3">
              <w:t>1</w:t>
            </w:r>
          </w:p>
        </w:tc>
        <w:tc>
          <w:tcPr>
            <w:tcW w:w="0" w:type="auto"/>
            <w:shd w:val="clear" w:color="auto" w:fill="auto"/>
          </w:tcPr>
          <w:p w14:paraId="0C110A78" w14:textId="77777777" w:rsidR="000F70A3" w:rsidRPr="000F70A3" w:rsidRDefault="000F70A3" w:rsidP="007C1921">
            <w:pPr>
              <w:pStyle w:val="72TabletextTablesTableFigureBoxstyles"/>
            </w:pPr>
            <w:r w:rsidRPr="000F70A3">
              <w:t>0</w:t>
            </w:r>
          </w:p>
        </w:tc>
        <w:tc>
          <w:tcPr>
            <w:tcW w:w="0" w:type="auto"/>
            <w:shd w:val="clear" w:color="auto" w:fill="auto"/>
          </w:tcPr>
          <w:p w14:paraId="04CB472F" w14:textId="77777777" w:rsidR="000F70A3" w:rsidRPr="000F70A3" w:rsidRDefault="000F70A3" w:rsidP="007C1921">
            <w:pPr>
              <w:pStyle w:val="72TabletextTablesTableFigureBoxstyles"/>
            </w:pPr>
            <w:r w:rsidRPr="000F70A3">
              <w:t>3</w:t>
            </w:r>
          </w:p>
        </w:tc>
        <w:tc>
          <w:tcPr>
            <w:tcW w:w="0" w:type="auto"/>
            <w:shd w:val="clear" w:color="auto" w:fill="auto"/>
          </w:tcPr>
          <w:p w14:paraId="05768249" w14:textId="77777777" w:rsidR="000F70A3" w:rsidRPr="000F70A3" w:rsidRDefault="000F70A3" w:rsidP="007C1921">
            <w:pPr>
              <w:pStyle w:val="72TabletextTablesTableFigureBoxstyles"/>
            </w:pPr>
            <w:r w:rsidRPr="000F70A3">
              <w:t>0</w:t>
            </w:r>
          </w:p>
        </w:tc>
        <w:tc>
          <w:tcPr>
            <w:tcW w:w="0" w:type="auto"/>
            <w:shd w:val="clear" w:color="auto" w:fill="auto"/>
          </w:tcPr>
          <w:p w14:paraId="2E70E471" w14:textId="77777777" w:rsidR="000F70A3" w:rsidRPr="000F70A3" w:rsidRDefault="000F70A3" w:rsidP="007C1921">
            <w:pPr>
              <w:pStyle w:val="72TabletextTablesTableFigureBoxstyles"/>
            </w:pPr>
            <w:r w:rsidRPr="000F70A3">
              <w:t>0</w:t>
            </w:r>
          </w:p>
        </w:tc>
        <w:tc>
          <w:tcPr>
            <w:tcW w:w="0" w:type="auto"/>
            <w:shd w:val="clear" w:color="auto" w:fill="auto"/>
          </w:tcPr>
          <w:p w14:paraId="3BF88630" w14:textId="77777777" w:rsidR="000F70A3" w:rsidRPr="000F70A3" w:rsidRDefault="000F70A3" w:rsidP="007C1921">
            <w:pPr>
              <w:pStyle w:val="72TabletextTablesTableFigureBoxstyles"/>
            </w:pPr>
            <w:r w:rsidRPr="000F70A3">
              <w:t>0</w:t>
            </w:r>
          </w:p>
        </w:tc>
      </w:tr>
      <w:tr w:rsidR="000F70A3" w:rsidRPr="000F70A3" w14:paraId="6A317A7F" w14:textId="77777777" w:rsidTr="0059567E">
        <w:trPr>
          <w:cantSplit/>
        </w:trPr>
        <w:tc>
          <w:tcPr>
            <w:tcW w:w="0" w:type="auto"/>
            <w:shd w:val="clear" w:color="auto" w:fill="auto"/>
          </w:tcPr>
          <w:p w14:paraId="74A0BB04" w14:textId="77777777" w:rsidR="000F70A3" w:rsidRPr="007C1921" w:rsidRDefault="000F70A3" w:rsidP="007C1921">
            <w:pPr>
              <w:pStyle w:val="72TabletextTablesTableFigureBoxstyles"/>
              <w:rPr>
                <w:b/>
              </w:rPr>
            </w:pPr>
            <w:r w:rsidRPr="007C1921">
              <w:rPr>
                <w:b/>
              </w:rPr>
              <w:t>MRSA</w:t>
            </w:r>
          </w:p>
        </w:tc>
        <w:tc>
          <w:tcPr>
            <w:tcW w:w="0" w:type="auto"/>
            <w:shd w:val="clear" w:color="auto" w:fill="auto"/>
          </w:tcPr>
          <w:p w14:paraId="55337E9D" w14:textId="77777777" w:rsidR="000F70A3" w:rsidRPr="000F70A3" w:rsidRDefault="000F70A3" w:rsidP="007C1921">
            <w:pPr>
              <w:pStyle w:val="72TabletextTablesTableFigureBoxstyles"/>
            </w:pPr>
            <w:r w:rsidRPr="000F70A3">
              <w:t>0</w:t>
            </w:r>
          </w:p>
        </w:tc>
        <w:tc>
          <w:tcPr>
            <w:tcW w:w="0" w:type="auto"/>
            <w:shd w:val="clear" w:color="auto" w:fill="auto"/>
          </w:tcPr>
          <w:p w14:paraId="338D381C" w14:textId="77777777" w:rsidR="000F70A3" w:rsidRPr="000F70A3" w:rsidRDefault="000F70A3" w:rsidP="007C1921">
            <w:pPr>
              <w:pStyle w:val="72TabletextTablesTableFigureBoxstyles"/>
            </w:pPr>
            <w:r w:rsidRPr="000F70A3">
              <w:t>0</w:t>
            </w:r>
          </w:p>
        </w:tc>
        <w:tc>
          <w:tcPr>
            <w:tcW w:w="0" w:type="auto"/>
            <w:shd w:val="clear" w:color="auto" w:fill="auto"/>
          </w:tcPr>
          <w:p w14:paraId="4BAE534D" w14:textId="77777777" w:rsidR="000F70A3" w:rsidRPr="000F70A3" w:rsidRDefault="000F70A3" w:rsidP="007C1921">
            <w:pPr>
              <w:pStyle w:val="72TabletextTablesTableFigureBoxstyles"/>
            </w:pPr>
            <w:r w:rsidRPr="000F70A3">
              <w:t>0</w:t>
            </w:r>
          </w:p>
        </w:tc>
        <w:tc>
          <w:tcPr>
            <w:tcW w:w="0" w:type="auto"/>
            <w:shd w:val="clear" w:color="auto" w:fill="auto"/>
          </w:tcPr>
          <w:p w14:paraId="79BE9599" w14:textId="77777777" w:rsidR="000F70A3" w:rsidRPr="000F70A3" w:rsidRDefault="000F70A3" w:rsidP="007C1921">
            <w:pPr>
              <w:pStyle w:val="72TabletextTablesTableFigureBoxstyles"/>
            </w:pPr>
            <w:r w:rsidRPr="000F70A3">
              <w:t>0</w:t>
            </w:r>
          </w:p>
        </w:tc>
        <w:tc>
          <w:tcPr>
            <w:tcW w:w="0" w:type="auto"/>
            <w:shd w:val="clear" w:color="auto" w:fill="auto"/>
          </w:tcPr>
          <w:p w14:paraId="1F7E0C9D" w14:textId="77777777" w:rsidR="000F70A3" w:rsidRPr="000F70A3" w:rsidRDefault="000F70A3" w:rsidP="007C1921">
            <w:pPr>
              <w:pStyle w:val="72TabletextTablesTableFigureBoxstyles"/>
            </w:pPr>
            <w:r w:rsidRPr="000F70A3">
              <w:t>1</w:t>
            </w:r>
          </w:p>
        </w:tc>
        <w:tc>
          <w:tcPr>
            <w:tcW w:w="0" w:type="auto"/>
            <w:shd w:val="clear" w:color="auto" w:fill="auto"/>
          </w:tcPr>
          <w:p w14:paraId="41B6AA98" w14:textId="77777777" w:rsidR="000F70A3" w:rsidRPr="000F70A3" w:rsidRDefault="000F70A3" w:rsidP="007C1921">
            <w:pPr>
              <w:pStyle w:val="72TabletextTablesTableFigureBoxstyles"/>
            </w:pPr>
            <w:r w:rsidRPr="000F70A3">
              <w:t>0</w:t>
            </w:r>
          </w:p>
        </w:tc>
        <w:tc>
          <w:tcPr>
            <w:tcW w:w="0" w:type="auto"/>
            <w:shd w:val="clear" w:color="auto" w:fill="auto"/>
          </w:tcPr>
          <w:p w14:paraId="17BB4E9B" w14:textId="77777777" w:rsidR="000F70A3" w:rsidRPr="000F70A3" w:rsidRDefault="000F70A3" w:rsidP="007C1921">
            <w:pPr>
              <w:pStyle w:val="72TabletextTablesTableFigureBoxstyles"/>
            </w:pPr>
            <w:r w:rsidRPr="000F70A3">
              <w:t>0</w:t>
            </w:r>
          </w:p>
        </w:tc>
        <w:tc>
          <w:tcPr>
            <w:tcW w:w="0" w:type="auto"/>
            <w:shd w:val="clear" w:color="auto" w:fill="auto"/>
          </w:tcPr>
          <w:p w14:paraId="07C34B6E" w14:textId="77777777" w:rsidR="000F70A3" w:rsidRPr="000F70A3" w:rsidRDefault="000F70A3" w:rsidP="007C1921">
            <w:pPr>
              <w:pStyle w:val="72TabletextTablesTableFigureBoxstyles"/>
            </w:pPr>
            <w:r w:rsidRPr="000F70A3">
              <w:t>0</w:t>
            </w:r>
          </w:p>
        </w:tc>
      </w:tr>
      <w:tr w:rsidR="000F70A3" w:rsidRPr="000F70A3" w14:paraId="5EF9DD32" w14:textId="77777777" w:rsidTr="0059567E">
        <w:trPr>
          <w:cantSplit/>
        </w:trPr>
        <w:tc>
          <w:tcPr>
            <w:tcW w:w="0" w:type="auto"/>
            <w:shd w:val="clear" w:color="auto" w:fill="auto"/>
          </w:tcPr>
          <w:p w14:paraId="07355B8B" w14:textId="77777777" w:rsidR="000F70A3" w:rsidRPr="007C1921" w:rsidRDefault="000F70A3" w:rsidP="007C1921">
            <w:pPr>
              <w:pStyle w:val="72TabletextTablesTableFigureBoxstyles"/>
              <w:rPr>
                <w:b/>
              </w:rPr>
            </w:pPr>
            <w:r w:rsidRPr="007C1921">
              <w:rPr>
                <w:b/>
              </w:rPr>
              <w:t>Mixed Flora</w:t>
            </w:r>
          </w:p>
        </w:tc>
        <w:tc>
          <w:tcPr>
            <w:tcW w:w="0" w:type="auto"/>
            <w:shd w:val="clear" w:color="auto" w:fill="auto"/>
          </w:tcPr>
          <w:p w14:paraId="25058B36" w14:textId="77777777" w:rsidR="000F70A3" w:rsidRPr="000F70A3" w:rsidRDefault="000F70A3" w:rsidP="007C1921">
            <w:pPr>
              <w:pStyle w:val="72TabletextTablesTableFigureBoxstyles"/>
            </w:pPr>
            <w:r w:rsidRPr="000F70A3">
              <w:t>87</w:t>
            </w:r>
          </w:p>
        </w:tc>
        <w:tc>
          <w:tcPr>
            <w:tcW w:w="0" w:type="auto"/>
            <w:shd w:val="clear" w:color="auto" w:fill="auto"/>
          </w:tcPr>
          <w:p w14:paraId="60BA546E" w14:textId="77777777" w:rsidR="000F70A3" w:rsidRPr="000F70A3" w:rsidRDefault="000F70A3" w:rsidP="007C1921">
            <w:pPr>
              <w:pStyle w:val="72TabletextTablesTableFigureBoxstyles"/>
            </w:pPr>
            <w:r w:rsidRPr="000F70A3">
              <w:t>40</w:t>
            </w:r>
          </w:p>
        </w:tc>
        <w:tc>
          <w:tcPr>
            <w:tcW w:w="0" w:type="auto"/>
            <w:shd w:val="clear" w:color="auto" w:fill="auto"/>
          </w:tcPr>
          <w:p w14:paraId="6745FA8B" w14:textId="77777777" w:rsidR="000F70A3" w:rsidRPr="000F70A3" w:rsidRDefault="000F70A3" w:rsidP="007C1921">
            <w:pPr>
              <w:pStyle w:val="72TabletextTablesTableFigureBoxstyles"/>
            </w:pPr>
            <w:r w:rsidRPr="000F70A3">
              <w:t>38</w:t>
            </w:r>
          </w:p>
        </w:tc>
        <w:tc>
          <w:tcPr>
            <w:tcW w:w="0" w:type="auto"/>
            <w:shd w:val="clear" w:color="auto" w:fill="auto"/>
          </w:tcPr>
          <w:p w14:paraId="02A986A2" w14:textId="77777777" w:rsidR="000F70A3" w:rsidRPr="000F70A3" w:rsidRDefault="000F70A3" w:rsidP="007C1921">
            <w:pPr>
              <w:pStyle w:val="72TabletextTablesTableFigureBoxstyles"/>
            </w:pPr>
            <w:r w:rsidRPr="000F70A3">
              <w:t>41</w:t>
            </w:r>
          </w:p>
        </w:tc>
        <w:tc>
          <w:tcPr>
            <w:tcW w:w="0" w:type="auto"/>
            <w:shd w:val="clear" w:color="auto" w:fill="auto"/>
          </w:tcPr>
          <w:p w14:paraId="3C9EAA0D" w14:textId="77777777" w:rsidR="000F70A3" w:rsidRPr="000F70A3" w:rsidRDefault="000F70A3" w:rsidP="007C1921">
            <w:pPr>
              <w:pStyle w:val="72TabletextTablesTableFigureBoxstyles"/>
            </w:pPr>
            <w:r w:rsidRPr="000F70A3">
              <w:t>74</w:t>
            </w:r>
          </w:p>
        </w:tc>
        <w:tc>
          <w:tcPr>
            <w:tcW w:w="0" w:type="auto"/>
            <w:shd w:val="clear" w:color="auto" w:fill="auto"/>
          </w:tcPr>
          <w:p w14:paraId="2DEE8D37" w14:textId="77777777" w:rsidR="000F70A3" w:rsidRPr="000F70A3" w:rsidRDefault="000F70A3" w:rsidP="007C1921">
            <w:pPr>
              <w:pStyle w:val="72TabletextTablesTableFigureBoxstyles"/>
            </w:pPr>
            <w:r w:rsidRPr="000F70A3">
              <w:t>30</w:t>
            </w:r>
          </w:p>
        </w:tc>
        <w:tc>
          <w:tcPr>
            <w:tcW w:w="0" w:type="auto"/>
            <w:shd w:val="clear" w:color="auto" w:fill="auto"/>
          </w:tcPr>
          <w:p w14:paraId="33AC5551" w14:textId="77777777" w:rsidR="000F70A3" w:rsidRPr="000F70A3" w:rsidRDefault="000F70A3" w:rsidP="007C1921">
            <w:pPr>
              <w:pStyle w:val="72TabletextTablesTableFigureBoxstyles"/>
            </w:pPr>
            <w:r w:rsidRPr="000F70A3">
              <w:t>32</w:t>
            </w:r>
          </w:p>
        </w:tc>
        <w:tc>
          <w:tcPr>
            <w:tcW w:w="0" w:type="auto"/>
            <w:shd w:val="clear" w:color="auto" w:fill="auto"/>
          </w:tcPr>
          <w:p w14:paraId="7551D233" w14:textId="77777777" w:rsidR="000F70A3" w:rsidRPr="000F70A3" w:rsidRDefault="000F70A3" w:rsidP="007C1921">
            <w:pPr>
              <w:pStyle w:val="72TabletextTablesTableFigureBoxstyles"/>
            </w:pPr>
            <w:r w:rsidRPr="000F70A3">
              <w:t>39</w:t>
            </w:r>
          </w:p>
        </w:tc>
      </w:tr>
      <w:tr w:rsidR="000F70A3" w:rsidRPr="000F70A3" w14:paraId="49BBE751" w14:textId="77777777" w:rsidTr="0059567E">
        <w:trPr>
          <w:cantSplit/>
        </w:trPr>
        <w:tc>
          <w:tcPr>
            <w:tcW w:w="0" w:type="auto"/>
            <w:shd w:val="clear" w:color="auto" w:fill="auto"/>
          </w:tcPr>
          <w:p w14:paraId="32A7ABF2" w14:textId="77777777" w:rsidR="000F70A3" w:rsidRPr="007C1921" w:rsidRDefault="000F70A3" w:rsidP="007C1921">
            <w:pPr>
              <w:pStyle w:val="72TabletextTablesTableFigureBoxstyles"/>
              <w:rPr>
                <w:b/>
              </w:rPr>
            </w:pPr>
            <w:r w:rsidRPr="007C1921">
              <w:rPr>
                <w:b/>
              </w:rPr>
              <w:t>No Growth</w:t>
            </w:r>
          </w:p>
        </w:tc>
        <w:tc>
          <w:tcPr>
            <w:tcW w:w="0" w:type="auto"/>
            <w:shd w:val="clear" w:color="auto" w:fill="auto"/>
          </w:tcPr>
          <w:p w14:paraId="657C2227" w14:textId="77777777" w:rsidR="000F70A3" w:rsidRPr="000F70A3" w:rsidRDefault="000F70A3" w:rsidP="007C1921">
            <w:pPr>
              <w:pStyle w:val="72TabletextTablesTableFigureBoxstyles"/>
            </w:pPr>
            <w:r w:rsidRPr="000F70A3">
              <w:t>1</w:t>
            </w:r>
          </w:p>
        </w:tc>
        <w:tc>
          <w:tcPr>
            <w:tcW w:w="0" w:type="auto"/>
            <w:shd w:val="clear" w:color="auto" w:fill="auto"/>
          </w:tcPr>
          <w:p w14:paraId="663717B2" w14:textId="77777777" w:rsidR="000F70A3" w:rsidRPr="000F70A3" w:rsidRDefault="000F70A3" w:rsidP="007C1921">
            <w:pPr>
              <w:pStyle w:val="72TabletextTablesTableFigureBoxstyles"/>
            </w:pPr>
            <w:r w:rsidRPr="000F70A3">
              <w:t>1</w:t>
            </w:r>
          </w:p>
        </w:tc>
        <w:tc>
          <w:tcPr>
            <w:tcW w:w="0" w:type="auto"/>
            <w:shd w:val="clear" w:color="auto" w:fill="auto"/>
          </w:tcPr>
          <w:p w14:paraId="6A94E639" w14:textId="77777777" w:rsidR="000F70A3" w:rsidRPr="000F70A3" w:rsidRDefault="000F70A3" w:rsidP="007C1921">
            <w:pPr>
              <w:pStyle w:val="72TabletextTablesTableFigureBoxstyles"/>
            </w:pPr>
            <w:r w:rsidRPr="000F70A3">
              <w:t>0</w:t>
            </w:r>
          </w:p>
        </w:tc>
        <w:tc>
          <w:tcPr>
            <w:tcW w:w="0" w:type="auto"/>
            <w:shd w:val="clear" w:color="auto" w:fill="auto"/>
          </w:tcPr>
          <w:p w14:paraId="6D50FB63" w14:textId="77777777" w:rsidR="000F70A3" w:rsidRPr="000F70A3" w:rsidRDefault="000F70A3" w:rsidP="007C1921">
            <w:pPr>
              <w:pStyle w:val="72TabletextTablesTableFigureBoxstyles"/>
            </w:pPr>
            <w:r w:rsidRPr="000F70A3">
              <w:t>0</w:t>
            </w:r>
          </w:p>
        </w:tc>
        <w:tc>
          <w:tcPr>
            <w:tcW w:w="0" w:type="auto"/>
            <w:shd w:val="clear" w:color="auto" w:fill="auto"/>
          </w:tcPr>
          <w:p w14:paraId="56C8E745" w14:textId="77777777" w:rsidR="000F70A3" w:rsidRPr="000F70A3" w:rsidRDefault="000F70A3" w:rsidP="007C1921">
            <w:pPr>
              <w:pStyle w:val="72TabletextTablesTableFigureBoxstyles"/>
            </w:pPr>
            <w:r w:rsidRPr="000F70A3">
              <w:t>0</w:t>
            </w:r>
          </w:p>
        </w:tc>
        <w:tc>
          <w:tcPr>
            <w:tcW w:w="0" w:type="auto"/>
            <w:shd w:val="clear" w:color="auto" w:fill="auto"/>
          </w:tcPr>
          <w:p w14:paraId="745D27E4" w14:textId="77777777" w:rsidR="000F70A3" w:rsidRPr="000F70A3" w:rsidRDefault="000F70A3" w:rsidP="007C1921">
            <w:pPr>
              <w:pStyle w:val="72TabletextTablesTableFigureBoxstyles"/>
            </w:pPr>
            <w:r w:rsidRPr="000F70A3">
              <w:t>0</w:t>
            </w:r>
          </w:p>
        </w:tc>
        <w:tc>
          <w:tcPr>
            <w:tcW w:w="0" w:type="auto"/>
            <w:shd w:val="clear" w:color="auto" w:fill="auto"/>
          </w:tcPr>
          <w:p w14:paraId="34D05043" w14:textId="77777777" w:rsidR="000F70A3" w:rsidRPr="000F70A3" w:rsidRDefault="000F70A3" w:rsidP="007C1921">
            <w:pPr>
              <w:pStyle w:val="72TabletextTablesTableFigureBoxstyles"/>
            </w:pPr>
            <w:r w:rsidRPr="000F70A3">
              <w:t>0</w:t>
            </w:r>
          </w:p>
        </w:tc>
        <w:tc>
          <w:tcPr>
            <w:tcW w:w="0" w:type="auto"/>
            <w:shd w:val="clear" w:color="auto" w:fill="auto"/>
          </w:tcPr>
          <w:p w14:paraId="36A3ECB0" w14:textId="77777777" w:rsidR="000F70A3" w:rsidRPr="000F70A3" w:rsidRDefault="000F70A3" w:rsidP="007C1921">
            <w:pPr>
              <w:pStyle w:val="72TabletextTablesTableFigureBoxstyles"/>
            </w:pPr>
            <w:r w:rsidRPr="000F70A3">
              <w:t>0</w:t>
            </w:r>
          </w:p>
        </w:tc>
      </w:tr>
      <w:tr w:rsidR="007C1921" w:rsidRPr="000F70A3" w14:paraId="44F922B0" w14:textId="77777777" w:rsidTr="005D3E06">
        <w:trPr>
          <w:cantSplit/>
        </w:trPr>
        <w:tc>
          <w:tcPr>
            <w:tcW w:w="0" w:type="auto"/>
            <w:gridSpan w:val="9"/>
            <w:shd w:val="clear" w:color="auto" w:fill="auto"/>
          </w:tcPr>
          <w:p w14:paraId="352419A8" w14:textId="5D8DD8D3" w:rsidR="007C1921" w:rsidRPr="007C1921" w:rsidRDefault="007C1921" w:rsidP="007C1921">
            <w:pPr>
              <w:pStyle w:val="75TablenotesTablesTableFigureBoxstyles"/>
            </w:pPr>
            <w:r w:rsidRPr="000F70A3">
              <w:t xml:space="preserve">MRSA = Methicillin Resistant </w:t>
            </w:r>
            <w:r w:rsidRPr="000F70A3">
              <w:rPr>
                <w:i/>
                <w:color w:val="00B0F0"/>
              </w:rPr>
              <w:t>Staphylococcus</w:t>
            </w:r>
            <w:r>
              <w:t xml:space="preserve"> Aureus</w:t>
            </w:r>
          </w:p>
        </w:tc>
      </w:tr>
    </w:tbl>
    <w:p w14:paraId="1E3F9C39" w14:textId="77777777" w:rsidR="000F70A3" w:rsidRPr="000F70A3" w:rsidRDefault="000F70A3" w:rsidP="007C1921">
      <w:pPr>
        <w:pStyle w:val="602TextfoTextstylesTextstyles"/>
      </w:pPr>
      <w:r w:rsidRPr="000F70A3">
        <w:t xml:space="preserve">The prevalence of streptococcus species remained low throughout the period of observation. There was no emergence of Methicillin Resistant </w:t>
      </w:r>
      <w:r w:rsidRPr="000F70A3">
        <w:rPr>
          <w:i/>
          <w:color w:val="00B0F0"/>
        </w:rPr>
        <w:t>Staphylococcus</w:t>
      </w:r>
      <w:r w:rsidRPr="000F70A3">
        <w:t xml:space="preserve"> Aureus at any time in either group.</w:t>
      </w:r>
    </w:p>
    <w:p w14:paraId="0959095B" w14:textId="77777777" w:rsidR="000F70A3" w:rsidRPr="000F70A3" w:rsidRDefault="000F70A3" w:rsidP="007C1921">
      <w:pPr>
        <w:pStyle w:val="602TextfoTextstylesTextstyles"/>
      </w:pPr>
      <w:r w:rsidRPr="000F70A3">
        <w:t xml:space="preserve">There was no clinically significant difference in bacterial load for Haemophilus Influenzae, Pneumoniae or </w:t>
      </w:r>
      <w:r w:rsidRPr="000F70A3">
        <w:rPr>
          <w:i/>
          <w:iCs/>
        </w:rPr>
        <w:t>Streptococcus</w:t>
      </w:r>
      <w:r w:rsidRPr="000F70A3">
        <w:rPr>
          <w:iCs/>
          <w:color w:val="00B0F0"/>
        </w:rPr>
        <w:t xml:space="preserve"> sp.</w:t>
      </w:r>
      <w:r w:rsidRPr="000F70A3">
        <w:t xml:space="preserve"> measured as colony forming units per ml between groups. The prevalence in mixed flora was similar across the randomised groups.</w:t>
      </w:r>
    </w:p>
    <w:p w14:paraId="37C8A8F3" w14:textId="77777777" w:rsidR="000F70A3" w:rsidRPr="000F70A3" w:rsidRDefault="000F70A3" w:rsidP="007C1921">
      <w:pPr>
        <w:pStyle w:val="602TextfoTextstylesTextstyles"/>
      </w:pPr>
      <w:r w:rsidRPr="000F70A3">
        <w:t xml:space="preserve">The prevalence of resistant isolates is described in </w:t>
      </w:r>
      <w:r w:rsidRPr="000F70A3">
        <w:rPr>
          <w:i/>
          <w:color w:val="FF0000"/>
        </w:rPr>
        <w:t>Table 6</w:t>
      </w:r>
      <w:r w:rsidRPr="000F70A3">
        <w:t xml:space="preserve"> below</w:t>
      </w:r>
      <w:r w:rsidRPr="000F70A3">
        <w:rPr>
          <w:color w:val="00B0F0"/>
        </w:rPr>
        <w:t>. Owing to</w:t>
      </w:r>
      <w:r w:rsidRPr="000F70A3">
        <w:t xml:space="preserve"> small numbers of isolates, there was no statistical testing.. There did not appear to be a clinically significant difference in prevalence of ampicillin resistance isolates of </w:t>
      </w:r>
      <w:r w:rsidRPr="000F70A3">
        <w:rPr>
          <w:i/>
          <w:iCs/>
        </w:rPr>
        <w:t xml:space="preserve">Haemophilus Influenzae </w:t>
      </w:r>
      <w:r w:rsidRPr="000F70A3">
        <w:t xml:space="preserve">over time. There was insufficient </w:t>
      </w:r>
      <w:r w:rsidRPr="000F70A3">
        <w:rPr>
          <w:highlight w:val="magenta"/>
        </w:rPr>
        <w:t>data</w:t>
      </w:r>
      <w:r w:rsidRPr="000F70A3">
        <w:t xml:space="preserve"> to evidence a change in prevalence of ampicillin resistance in </w:t>
      </w:r>
      <w:r w:rsidRPr="000F70A3">
        <w:rPr>
          <w:i/>
          <w:iCs/>
        </w:rPr>
        <w:t>Streptococcus</w:t>
      </w:r>
      <w:r w:rsidRPr="000F70A3">
        <w:rPr>
          <w:iCs/>
          <w:color w:val="00B0F0"/>
        </w:rPr>
        <w:t xml:space="preserve"> sp</w:t>
      </w:r>
      <w:r w:rsidRPr="000F70A3">
        <w:rPr>
          <w:color w:val="00B0F0"/>
        </w:rPr>
        <w:t>.</w:t>
      </w:r>
      <w:r w:rsidRPr="000F70A3">
        <w:t xml:space="preserve"> or cefoxitin resistance in </w:t>
      </w:r>
      <w:r w:rsidRPr="000F70A3">
        <w:rPr>
          <w:i/>
          <w:iCs/>
          <w:color w:val="00B0F0"/>
        </w:rPr>
        <w:t>Staphylococcus</w:t>
      </w:r>
      <w:r w:rsidRPr="000F70A3">
        <w:rPr>
          <w:i/>
          <w:iCs/>
        </w:rPr>
        <w:t xml:space="preserve"> Aureus</w:t>
      </w:r>
      <w:r w:rsidRPr="000F70A3">
        <w:t xml:space="preserve"> throughout the period of observation. The counterfactual observation is that no emergence of resistant isolates at any time in either group.</w:t>
      </w:r>
    </w:p>
    <w:p w14:paraId="2806314B" w14:textId="09F9509A" w:rsidR="000F70A3" w:rsidRPr="000F70A3" w:rsidRDefault="007C1921" w:rsidP="000F70A3">
      <w:pPr>
        <w:pStyle w:val="70TablelegendTablesTableFigureBoxstyles"/>
        <w:rPr>
          <w:rFonts w:eastAsia="DengXian"/>
          <w:lang w:eastAsia="en-GB" w:bidi="hi-IN"/>
        </w:rPr>
      </w:pPr>
      <w:r w:rsidRPr="007C1921">
        <w:rPr>
          <w:rFonts w:eastAsia="DengXian"/>
          <w:b/>
        </w:rPr>
        <w:t>TABLE 6</w:t>
      </w:r>
      <w:r w:rsidRPr="007C1921">
        <w:rPr>
          <w:rFonts w:eastAsia="DengXian"/>
          <w:b/>
        </w:rPr>
        <w:t> </w:t>
      </w:r>
      <w:r w:rsidR="000F70A3" w:rsidRPr="000F70A3">
        <w:rPr>
          <w:rFonts w:eastAsia="DengXian"/>
          <w:lang w:eastAsia="en-GB" w:bidi="hi-IN"/>
        </w:rPr>
        <w:t>p</w:t>
      </w:r>
      <w:r>
        <w:rPr>
          <w:rFonts w:eastAsia="DengXian"/>
          <w:lang w:eastAsia="en-GB" w:bidi="hi-IN"/>
        </w:rPr>
        <w:t>revalence of resistant isolates</w:t>
      </w:r>
    </w:p>
    <w:tbl>
      <w:tblPr>
        <w:tblW w:w="0" w:type="auto"/>
        <w:tblCellMar>
          <w:top w:w="40" w:type="dxa"/>
          <w:left w:w="60" w:type="dxa"/>
          <w:bottom w:w="40" w:type="dxa"/>
          <w:right w:w="60" w:type="dxa"/>
        </w:tblCellMar>
        <w:tblLook w:val="04A0" w:firstRow="1" w:lastRow="0" w:firstColumn="1" w:lastColumn="0" w:noHBand="0" w:noVBand="1"/>
      </w:tblPr>
      <w:tblGrid>
        <w:gridCol w:w="2686"/>
        <w:gridCol w:w="843"/>
        <w:gridCol w:w="785"/>
        <w:gridCol w:w="785"/>
        <w:gridCol w:w="817"/>
        <w:gridCol w:w="843"/>
        <w:gridCol w:w="785"/>
        <w:gridCol w:w="785"/>
        <w:gridCol w:w="817"/>
      </w:tblGrid>
      <w:tr w:rsidR="000F70A3" w:rsidRPr="000F70A3" w14:paraId="73EB5716" w14:textId="77777777" w:rsidTr="0059567E">
        <w:trPr>
          <w:cantSplit/>
        </w:trPr>
        <w:tc>
          <w:tcPr>
            <w:tcW w:w="0" w:type="auto"/>
            <w:shd w:val="clear" w:color="auto" w:fill="D5DCE4"/>
          </w:tcPr>
          <w:p w14:paraId="109DDADF" w14:textId="77777777" w:rsidR="000F70A3" w:rsidRPr="000F70A3" w:rsidRDefault="000F70A3" w:rsidP="00FE408C">
            <w:pPr>
              <w:pStyle w:val="710TableheadTablesTableFigureBoxstyles"/>
            </w:pPr>
          </w:p>
        </w:tc>
        <w:tc>
          <w:tcPr>
            <w:tcW w:w="0" w:type="auto"/>
            <w:gridSpan w:val="4"/>
            <w:shd w:val="clear" w:color="auto" w:fill="D5DCE4"/>
          </w:tcPr>
          <w:p w14:paraId="12E26193" w14:textId="77777777" w:rsidR="000F70A3" w:rsidRPr="000F70A3" w:rsidRDefault="000F70A3" w:rsidP="00FE408C">
            <w:pPr>
              <w:pStyle w:val="705TableheadgroupTablesTableFigureBoxstyles"/>
            </w:pPr>
            <w:r w:rsidRPr="000F70A3">
              <w:t>Co-Amoxiclav</w:t>
            </w:r>
          </w:p>
        </w:tc>
        <w:tc>
          <w:tcPr>
            <w:tcW w:w="0" w:type="auto"/>
            <w:gridSpan w:val="4"/>
            <w:shd w:val="clear" w:color="auto" w:fill="D5DCE4"/>
          </w:tcPr>
          <w:p w14:paraId="11C5FF99" w14:textId="77777777" w:rsidR="000F70A3" w:rsidRPr="000F70A3" w:rsidRDefault="000F70A3" w:rsidP="00FE408C">
            <w:pPr>
              <w:pStyle w:val="705TableheadgroupTablesTableFigureBoxstyles"/>
            </w:pPr>
            <w:r w:rsidRPr="000F70A3">
              <w:t>Placebo</w:t>
            </w:r>
          </w:p>
        </w:tc>
      </w:tr>
      <w:tr w:rsidR="000F70A3" w:rsidRPr="000F70A3" w14:paraId="0F9DDBFA" w14:textId="77777777" w:rsidTr="0059567E">
        <w:trPr>
          <w:cantSplit/>
        </w:trPr>
        <w:tc>
          <w:tcPr>
            <w:tcW w:w="0" w:type="auto"/>
            <w:shd w:val="clear" w:color="auto" w:fill="D5DCE4"/>
          </w:tcPr>
          <w:p w14:paraId="2678E446" w14:textId="77777777" w:rsidR="000F70A3" w:rsidRPr="000F70A3" w:rsidRDefault="000F70A3" w:rsidP="0091670A">
            <w:pPr>
              <w:pStyle w:val="710TableheadTablesTableFigureBoxstyles"/>
            </w:pPr>
          </w:p>
        </w:tc>
        <w:tc>
          <w:tcPr>
            <w:tcW w:w="0" w:type="auto"/>
            <w:shd w:val="clear" w:color="auto" w:fill="D5DCE4"/>
          </w:tcPr>
          <w:p w14:paraId="06DA1FE2" w14:textId="77777777" w:rsidR="000F70A3" w:rsidRPr="000F70A3" w:rsidRDefault="000F70A3" w:rsidP="0091670A">
            <w:pPr>
              <w:pStyle w:val="710TableheadTablesTableFigureBoxstyles"/>
            </w:pPr>
            <w:r w:rsidRPr="000F70A3">
              <w:t>Baseline</w:t>
            </w:r>
          </w:p>
        </w:tc>
        <w:tc>
          <w:tcPr>
            <w:tcW w:w="0" w:type="auto"/>
            <w:shd w:val="clear" w:color="auto" w:fill="D5DCE4"/>
          </w:tcPr>
          <w:p w14:paraId="7905DB65" w14:textId="77777777" w:rsidR="000F70A3" w:rsidRPr="000F70A3" w:rsidRDefault="000F70A3" w:rsidP="0091670A">
            <w:pPr>
              <w:pStyle w:val="710TableheadTablesTableFigureBoxstyles"/>
            </w:pPr>
            <w:r w:rsidRPr="000F70A3">
              <w:t>3 Months</w:t>
            </w:r>
          </w:p>
        </w:tc>
        <w:tc>
          <w:tcPr>
            <w:tcW w:w="0" w:type="auto"/>
            <w:shd w:val="clear" w:color="auto" w:fill="D5DCE4"/>
          </w:tcPr>
          <w:p w14:paraId="70BE97AB" w14:textId="77777777" w:rsidR="000F70A3" w:rsidRPr="000F70A3" w:rsidRDefault="000F70A3" w:rsidP="0091670A">
            <w:pPr>
              <w:pStyle w:val="710TableheadTablesTableFigureBoxstyles"/>
            </w:pPr>
            <w:r w:rsidRPr="000F70A3">
              <w:t>6 Months</w:t>
            </w:r>
          </w:p>
        </w:tc>
        <w:tc>
          <w:tcPr>
            <w:tcW w:w="0" w:type="auto"/>
            <w:shd w:val="clear" w:color="auto" w:fill="D5DCE4"/>
          </w:tcPr>
          <w:p w14:paraId="5ACD5D33" w14:textId="77777777" w:rsidR="000F70A3" w:rsidRPr="000F70A3" w:rsidRDefault="000F70A3" w:rsidP="0091670A">
            <w:pPr>
              <w:pStyle w:val="710TableheadTablesTableFigureBoxstyles"/>
            </w:pPr>
            <w:r w:rsidRPr="000F70A3">
              <w:t>12 Months</w:t>
            </w:r>
          </w:p>
        </w:tc>
        <w:tc>
          <w:tcPr>
            <w:tcW w:w="0" w:type="auto"/>
            <w:shd w:val="clear" w:color="auto" w:fill="D5DCE4"/>
          </w:tcPr>
          <w:p w14:paraId="137D64E4" w14:textId="77777777" w:rsidR="000F70A3" w:rsidRPr="000F70A3" w:rsidRDefault="000F70A3" w:rsidP="0091670A">
            <w:pPr>
              <w:pStyle w:val="710TableheadTablesTableFigureBoxstyles"/>
            </w:pPr>
            <w:r w:rsidRPr="000F70A3">
              <w:t>Baseline</w:t>
            </w:r>
          </w:p>
        </w:tc>
        <w:tc>
          <w:tcPr>
            <w:tcW w:w="0" w:type="auto"/>
            <w:shd w:val="clear" w:color="auto" w:fill="D5DCE4"/>
          </w:tcPr>
          <w:p w14:paraId="4C943FDE" w14:textId="77777777" w:rsidR="000F70A3" w:rsidRPr="000F70A3" w:rsidRDefault="000F70A3" w:rsidP="0091670A">
            <w:pPr>
              <w:pStyle w:val="710TableheadTablesTableFigureBoxstyles"/>
            </w:pPr>
            <w:r w:rsidRPr="000F70A3">
              <w:t>3 Months</w:t>
            </w:r>
          </w:p>
        </w:tc>
        <w:tc>
          <w:tcPr>
            <w:tcW w:w="0" w:type="auto"/>
            <w:shd w:val="clear" w:color="auto" w:fill="D5DCE4"/>
          </w:tcPr>
          <w:p w14:paraId="6E62F499" w14:textId="77777777" w:rsidR="000F70A3" w:rsidRPr="000F70A3" w:rsidRDefault="000F70A3" w:rsidP="0091670A">
            <w:pPr>
              <w:pStyle w:val="710TableheadTablesTableFigureBoxstyles"/>
            </w:pPr>
            <w:r w:rsidRPr="000F70A3">
              <w:t>6 Months</w:t>
            </w:r>
          </w:p>
        </w:tc>
        <w:tc>
          <w:tcPr>
            <w:tcW w:w="0" w:type="auto"/>
            <w:shd w:val="clear" w:color="auto" w:fill="D5DCE4"/>
          </w:tcPr>
          <w:p w14:paraId="654E8053" w14:textId="77777777" w:rsidR="000F70A3" w:rsidRPr="000F70A3" w:rsidRDefault="000F70A3" w:rsidP="0091670A">
            <w:pPr>
              <w:pStyle w:val="710TableheadTablesTableFigureBoxstyles"/>
            </w:pPr>
            <w:r w:rsidRPr="000F70A3">
              <w:t>12 Months</w:t>
            </w:r>
          </w:p>
        </w:tc>
      </w:tr>
      <w:tr w:rsidR="000F70A3" w:rsidRPr="000F70A3" w14:paraId="50FB3B35" w14:textId="77777777" w:rsidTr="0059567E">
        <w:trPr>
          <w:cantSplit/>
        </w:trPr>
        <w:tc>
          <w:tcPr>
            <w:tcW w:w="0" w:type="auto"/>
            <w:shd w:val="clear" w:color="auto" w:fill="auto"/>
          </w:tcPr>
          <w:p w14:paraId="235DF111" w14:textId="0609E17D" w:rsidR="000F70A3" w:rsidRPr="0091670A" w:rsidRDefault="000F70A3" w:rsidP="0091670A">
            <w:pPr>
              <w:pStyle w:val="72TabletextTablesTableFigureBoxstyles"/>
            </w:pPr>
            <w:bookmarkStart w:id="40" w:name="_Hlk90043642"/>
            <w:r w:rsidRPr="000F70A3">
              <w:t xml:space="preserve"> Haemophilus selec</w:t>
            </w:r>
            <w:r w:rsidR="0091670A">
              <w:t>tive agar containing ampicillin</w:t>
            </w:r>
          </w:p>
        </w:tc>
        <w:tc>
          <w:tcPr>
            <w:tcW w:w="0" w:type="auto"/>
            <w:shd w:val="clear" w:color="auto" w:fill="auto"/>
          </w:tcPr>
          <w:p w14:paraId="65F5CE39" w14:textId="77777777" w:rsidR="000F70A3" w:rsidRPr="000F70A3" w:rsidRDefault="000F70A3" w:rsidP="0091670A">
            <w:pPr>
              <w:pStyle w:val="72TabletextTablesTableFigureBoxstyles"/>
            </w:pPr>
            <w:r w:rsidRPr="000F70A3">
              <w:t>6/20 (30%)</w:t>
            </w:r>
          </w:p>
        </w:tc>
        <w:tc>
          <w:tcPr>
            <w:tcW w:w="0" w:type="auto"/>
            <w:shd w:val="clear" w:color="auto" w:fill="auto"/>
          </w:tcPr>
          <w:p w14:paraId="21F551A0" w14:textId="77777777" w:rsidR="000F70A3" w:rsidRPr="000F70A3" w:rsidRDefault="000F70A3" w:rsidP="0091670A">
            <w:pPr>
              <w:pStyle w:val="72TabletextTablesTableFigureBoxstyles"/>
            </w:pPr>
            <w:r w:rsidRPr="000F70A3">
              <w:t>5/11 (46%)</w:t>
            </w:r>
          </w:p>
        </w:tc>
        <w:tc>
          <w:tcPr>
            <w:tcW w:w="0" w:type="auto"/>
            <w:shd w:val="clear" w:color="auto" w:fill="auto"/>
          </w:tcPr>
          <w:p w14:paraId="5B4936B3" w14:textId="77777777" w:rsidR="000F70A3" w:rsidRPr="000F70A3" w:rsidRDefault="000F70A3" w:rsidP="0091670A">
            <w:pPr>
              <w:pStyle w:val="72TabletextTablesTableFigureBoxstyles"/>
            </w:pPr>
            <w:r w:rsidRPr="000F70A3">
              <w:t>1/7 (14%)</w:t>
            </w:r>
          </w:p>
        </w:tc>
        <w:tc>
          <w:tcPr>
            <w:tcW w:w="0" w:type="auto"/>
            <w:shd w:val="clear" w:color="auto" w:fill="auto"/>
          </w:tcPr>
          <w:p w14:paraId="22C4471F" w14:textId="77777777" w:rsidR="000F70A3" w:rsidRPr="000F70A3" w:rsidRDefault="000F70A3" w:rsidP="0091670A">
            <w:pPr>
              <w:pStyle w:val="72TabletextTablesTableFigureBoxstyles"/>
            </w:pPr>
            <w:r w:rsidRPr="000F70A3">
              <w:t>1/6 (17%)</w:t>
            </w:r>
          </w:p>
        </w:tc>
        <w:tc>
          <w:tcPr>
            <w:tcW w:w="0" w:type="auto"/>
            <w:shd w:val="clear" w:color="auto" w:fill="auto"/>
          </w:tcPr>
          <w:p w14:paraId="5EE93EC9" w14:textId="77777777" w:rsidR="000F70A3" w:rsidRPr="000F70A3" w:rsidRDefault="000F70A3" w:rsidP="0091670A">
            <w:pPr>
              <w:pStyle w:val="72TabletextTablesTableFigureBoxstyles"/>
            </w:pPr>
            <w:r w:rsidRPr="000F70A3">
              <w:t>7/32 (22%)</w:t>
            </w:r>
          </w:p>
        </w:tc>
        <w:tc>
          <w:tcPr>
            <w:tcW w:w="0" w:type="auto"/>
            <w:shd w:val="clear" w:color="auto" w:fill="auto"/>
          </w:tcPr>
          <w:p w14:paraId="351A8CA5" w14:textId="77777777" w:rsidR="000F70A3" w:rsidRPr="000F70A3" w:rsidRDefault="000F70A3" w:rsidP="0091670A">
            <w:pPr>
              <w:pStyle w:val="72TabletextTablesTableFigureBoxstyles"/>
            </w:pPr>
            <w:r w:rsidRPr="000F70A3">
              <w:t>3/10 (30%)</w:t>
            </w:r>
          </w:p>
        </w:tc>
        <w:tc>
          <w:tcPr>
            <w:tcW w:w="0" w:type="auto"/>
            <w:shd w:val="clear" w:color="auto" w:fill="auto"/>
          </w:tcPr>
          <w:p w14:paraId="569277CC" w14:textId="77777777" w:rsidR="000F70A3" w:rsidRPr="000F70A3" w:rsidRDefault="000F70A3" w:rsidP="0091670A">
            <w:pPr>
              <w:pStyle w:val="72TabletextTablesTableFigureBoxstyles"/>
            </w:pPr>
            <w:r w:rsidRPr="000F70A3">
              <w:t>4/12 (33%)</w:t>
            </w:r>
          </w:p>
        </w:tc>
        <w:tc>
          <w:tcPr>
            <w:tcW w:w="0" w:type="auto"/>
            <w:shd w:val="clear" w:color="auto" w:fill="auto"/>
          </w:tcPr>
          <w:p w14:paraId="4C0AAF7D" w14:textId="77777777" w:rsidR="000F70A3" w:rsidRPr="000F70A3" w:rsidRDefault="000F70A3" w:rsidP="0091670A">
            <w:pPr>
              <w:pStyle w:val="72TabletextTablesTableFigureBoxstyles"/>
            </w:pPr>
            <w:r w:rsidRPr="000F70A3">
              <w:t>1/6 (17%)</w:t>
            </w:r>
          </w:p>
        </w:tc>
      </w:tr>
      <w:tr w:rsidR="000F70A3" w:rsidRPr="000F70A3" w14:paraId="37C01C25" w14:textId="77777777" w:rsidTr="0059567E">
        <w:trPr>
          <w:cantSplit/>
        </w:trPr>
        <w:tc>
          <w:tcPr>
            <w:tcW w:w="0" w:type="auto"/>
            <w:shd w:val="clear" w:color="auto" w:fill="auto"/>
          </w:tcPr>
          <w:p w14:paraId="1B150D77" w14:textId="0A1EC1E9" w:rsidR="000F70A3" w:rsidRPr="0091670A" w:rsidRDefault="000F70A3" w:rsidP="0091670A">
            <w:pPr>
              <w:pStyle w:val="72TabletextTablesTableFigureBoxstyles"/>
            </w:pPr>
            <w:r w:rsidRPr="000F70A3">
              <w:t>Streptococcus Selec</w:t>
            </w:r>
            <w:r w:rsidR="0091670A">
              <w:t>tive agar containing ampicillin</w:t>
            </w:r>
          </w:p>
        </w:tc>
        <w:tc>
          <w:tcPr>
            <w:tcW w:w="0" w:type="auto"/>
            <w:shd w:val="clear" w:color="auto" w:fill="auto"/>
          </w:tcPr>
          <w:p w14:paraId="11B24827" w14:textId="77777777" w:rsidR="000F70A3" w:rsidRPr="000F70A3" w:rsidRDefault="000F70A3" w:rsidP="0091670A">
            <w:pPr>
              <w:pStyle w:val="72TabletextTablesTableFigureBoxstyles"/>
            </w:pPr>
            <w:r w:rsidRPr="000F70A3">
              <w:t>0/4 (0%)</w:t>
            </w:r>
          </w:p>
        </w:tc>
        <w:tc>
          <w:tcPr>
            <w:tcW w:w="0" w:type="auto"/>
            <w:shd w:val="clear" w:color="auto" w:fill="auto"/>
          </w:tcPr>
          <w:p w14:paraId="7F86C34D" w14:textId="77777777" w:rsidR="000F70A3" w:rsidRPr="000F70A3" w:rsidRDefault="000F70A3" w:rsidP="0091670A">
            <w:pPr>
              <w:pStyle w:val="72TabletextTablesTableFigureBoxstyles"/>
            </w:pPr>
            <w:r w:rsidRPr="000F70A3">
              <w:t>0/4 (0%)</w:t>
            </w:r>
          </w:p>
        </w:tc>
        <w:tc>
          <w:tcPr>
            <w:tcW w:w="0" w:type="auto"/>
            <w:shd w:val="clear" w:color="auto" w:fill="auto"/>
          </w:tcPr>
          <w:p w14:paraId="6FFF5795" w14:textId="77777777" w:rsidR="000F70A3" w:rsidRPr="000F70A3" w:rsidRDefault="000F70A3" w:rsidP="0091670A">
            <w:pPr>
              <w:pStyle w:val="72TabletextTablesTableFigureBoxstyles"/>
            </w:pPr>
            <w:r w:rsidRPr="000F70A3">
              <w:t>0/1 (0%)</w:t>
            </w:r>
          </w:p>
        </w:tc>
        <w:tc>
          <w:tcPr>
            <w:tcW w:w="0" w:type="auto"/>
            <w:shd w:val="clear" w:color="auto" w:fill="auto"/>
          </w:tcPr>
          <w:p w14:paraId="31CFDDA6" w14:textId="77777777" w:rsidR="000F70A3" w:rsidRPr="000F70A3" w:rsidRDefault="000F70A3" w:rsidP="0091670A">
            <w:pPr>
              <w:pStyle w:val="72TabletextTablesTableFigureBoxstyles"/>
            </w:pPr>
            <w:r w:rsidRPr="000F70A3">
              <w:t>-</w:t>
            </w:r>
          </w:p>
        </w:tc>
        <w:tc>
          <w:tcPr>
            <w:tcW w:w="0" w:type="auto"/>
            <w:shd w:val="clear" w:color="auto" w:fill="auto"/>
          </w:tcPr>
          <w:p w14:paraId="0E770026" w14:textId="77777777" w:rsidR="000F70A3" w:rsidRPr="000F70A3" w:rsidRDefault="000F70A3" w:rsidP="0091670A">
            <w:pPr>
              <w:pStyle w:val="72TabletextTablesTableFigureBoxstyles"/>
            </w:pPr>
            <w:r w:rsidRPr="000F70A3">
              <w:t>0/6 (0%)</w:t>
            </w:r>
          </w:p>
        </w:tc>
        <w:tc>
          <w:tcPr>
            <w:tcW w:w="0" w:type="auto"/>
            <w:shd w:val="clear" w:color="auto" w:fill="auto"/>
          </w:tcPr>
          <w:p w14:paraId="064D794A" w14:textId="77777777" w:rsidR="000F70A3" w:rsidRPr="000F70A3" w:rsidRDefault="000F70A3" w:rsidP="0091670A">
            <w:pPr>
              <w:pStyle w:val="72TabletextTablesTableFigureBoxstyles"/>
            </w:pPr>
            <w:r w:rsidRPr="000F70A3">
              <w:t>0/6 (0%)</w:t>
            </w:r>
          </w:p>
        </w:tc>
        <w:tc>
          <w:tcPr>
            <w:tcW w:w="0" w:type="auto"/>
            <w:shd w:val="clear" w:color="auto" w:fill="auto"/>
          </w:tcPr>
          <w:p w14:paraId="6532CA4C" w14:textId="77777777" w:rsidR="000F70A3" w:rsidRPr="000F70A3" w:rsidRDefault="000F70A3" w:rsidP="0091670A">
            <w:pPr>
              <w:pStyle w:val="72TabletextTablesTableFigureBoxstyles"/>
            </w:pPr>
            <w:r w:rsidRPr="000F70A3">
              <w:t>0/1 (0%)</w:t>
            </w:r>
          </w:p>
        </w:tc>
        <w:tc>
          <w:tcPr>
            <w:tcW w:w="0" w:type="auto"/>
            <w:shd w:val="clear" w:color="auto" w:fill="auto"/>
          </w:tcPr>
          <w:p w14:paraId="6887AB36" w14:textId="77777777" w:rsidR="000F70A3" w:rsidRPr="000F70A3" w:rsidRDefault="000F70A3" w:rsidP="0091670A">
            <w:pPr>
              <w:pStyle w:val="72TabletextTablesTableFigureBoxstyles"/>
            </w:pPr>
            <w:r w:rsidRPr="000F70A3">
              <w:t>0/1 (0%)</w:t>
            </w:r>
          </w:p>
        </w:tc>
      </w:tr>
      <w:tr w:rsidR="000F70A3" w:rsidRPr="000F70A3" w14:paraId="74CD20C0" w14:textId="77777777" w:rsidTr="0059567E">
        <w:trPr>
          <w:cantSplit/>
        </w:trPr>
        <w:tc>
          <w:tcPr>
            <w:tcW w:w="0" w:type="auto"/>
            <w:shd w:val="clear" w:color="auto" w:fill="auto"/>
          </w:tcPr>
          <w:p w14:paraId="2AFB60AF" w14:textId="72BE00CB" w:rsidR="000F70A3" w:rsidRPr="0091670A" w:rsidRDefault="000F70A3" w:rsidP="0091670A">
            <w:pPr>
              <w:pStyle w:val="72TabletextTablesTableFigureBoxstyles"/>
              <w:rPr>
                <w:rFonts w:cs="Calibri"/>
                <w:lang w:val="fr-FR"/>
              </w:rPr>
            </w:pPr>
            <w:r w:rsidRPr="000F70A3">
              <w:rPr>
                <w:rFonts w:cs="Calibri"/>
                <w:color w:val="4D5156"/>
                <w:shd w:val="clear" w:color="auto" w:fill="FFFFFF"/>
                <w:lang w:val="fr-FR"/>
              </w:rPr>
              <w:t xml:space="preserve">Methicillin-susceptible </w:t>
            </w:r>
            <w:r w:rsidRPr="000F70A3">
              <w:rPr>
                <w:rFonts w:cs="Calibri"/>
                <w:b/>
                <w:bCs/>
                <w:i/>
                <w:color w:val="00B0F0"/>
                <w:shd w:val="clear" w:color="auto" w:fill="FFFFFF"/>
                <w:lang w:val="fr-FR"/>
              </w:rPr>
              <w:t>S. aureus</w:t>
            </w:r>
            <w:r w:rsidRPr="000F70A3">
              <w:rPr>
                <w:rFonts w:cs="Calibri"/>
                <w:color w:val="4D5156"/>
                <w:shd w:val="clear" w:color="auto" w:fill="FFFFFF"/>
                <w:lang w:val="fr-FR"/>
              </w:rPr>
              <w:t xml:space="preserve"> (</w:t>
            </w:r>
            <w:r w:rsidRPr="000F70A3">
              <w:rPr>
                <w:rFonts w:cs="Calibri"/>
                <w:b/>
                <w:bCs/>
                <w:color w:val="5F6368"/>
                <w:shd w:val="clear" w:color="auto" w:fill="FFFFFF"/>
                <w:lang w:val="fr-FR"/>
              </w:rPr>
              <w:t>MSSA</w:t>
            </w:r>
            <w:r w:rsidRPr="000F70A3">
              <w:rPr>
                <w:rFonts w:cs="Calibri"/>
                <w:color w:val="4D5156"/>
                <w:shd w:val="clear" w:color="auto" w:fill="FFFFFF"/>
                <w:lang w:val="fr-FR"/>
              </w:rPr>
              <w:t>) Cefoxitin Sensitive</w:t>
            </w:r>
          </w:p>
        </w:tc>
        <w:tc>
          <w:tcPr>
            <w:tcW w:w="0" w:type="auto"/>
            <w:shd w:val="clear" w:color="auto" w:fill="auto"/>
          </w:tcPr>
          <w:p w14:paraId="08B8D585" w14:textId="77777777" w:rsidR="000F70A3" w:rsidRPr="000F70A3" w:rsidRDefault="000F70A3" w:rsidP="0091670A">
            <w:pPr>
              <w:pStyle w:val="72TabletextTablesTableFigureBoxstyles"/>
            </w:pPr>
            <w:r w:rsidRPr="000F70A3">
              <w:t>4/4 (100%)</w:t>
            </w:r>
          </w:p>
        </w:tc>
        <w:tc>
          <w:tcPr>
            <w:tcW w:w="0" w:type="auto"/>
            <w:shd w:val="clear" w:color="auto" w:fill="auto"/>
          </w:tcPr>
          <w:p w14:paraId="35E40EC8" w14:textId="77777777" w:rsidR="000F70A3" w:rsidRPr="000F70A3" w:rsidRDefault="000F70A3" w:rsidP="0091670A">
            <w:pPr>
              <w:pStyle w:val="72TabletextTablesTableFigureBoxstyles"/>
            </w:pPr>
            <w:r w:rsidRPr="000F70A3">
              <w:t>1/1 (100%)</w:t>
            </w:r>
          </w:p>
        </w:tc>
        <w:tc>
          <w:tcPr>
            <w:tcW w:w="0" w:type="auto"/>
            <w:shd w:val="clear" w:color="auto" w:fill="auto"/>
          </w:tcPr>
          <w:p w14:paraId="0917E2BB" w14:textId="77777777" w:rsidR="000F70A3" w:rsidRPr="000F70A3" w:rsidRDefault="000F70A3" w:rsidP="0091670A">
            <w:pPr>
              <w:pStyle w:val="72TabletextTablesTableFigureBoxstyles"/>
            </w:pPr>
            <w:r w:rsidRPr="000F70A3">
              <w:t>2/2 (100%)</w:t>
            </w:r>
          </w:p>
        </w:tc>
        <w:tc>
          <w:tcPr>
            <w:tcW w:w="0" w:type="auto"/>
            <w:shd w:val="clear" w:color="auto" w:fill="auto"/>
          </w:tcPr>
          <w:p w14:paraId="7461CBC4" w14:textId="77777777" w:rsidR="000F70A3" w:rsidRPr="000F70A3" w:rsidRDefault="000F70A3" w:rsidP="0091670A">
            <w:pPr>
              <w:pStyle w:val="72TabletextTablesTableFigureBoxstyles"/>
            </w:pPr>
            <w:r w:rsidRPr="000F70A3">
              <w:t>-</w:t>
            </w:r>
          </w:p>
        </w:tc>
        <w:tc>
          <w:tcPr>
            <w:tcW w:w="0" w:type="auto"/>
            <w:shd w:val="clear" w:color="auto" w:fill="auto"/>
          </w:tcPr>
          <w:p w14:paraId="66D30201" w14:textId="77777777" w:rsidR="000F70A3" w:rsidRPr="000F70A3" w:rsidRDefault="000F70A3" w:rsidP="0091670A">
            <w:pPr>
              <w:pStyle w:val="72TabletextTablesTableFigureBoxstyles"/>
            </w:pPr>
            <w:r w:rsidRPr="000F70A3">
              <w:t>1/2 (50%)</w:t>
            </w:r>
          </w:p>
        </w:tc>
        <w:tc>
          <w:tcPr>
            <w:tcW w:w="0" w:type="auto"/>
            <w:shd w:val="clear" w:color="auto" w:fill="auto"/>
          </w:tcPr>
          <w:p w14:paraId="4800DE78" w14:textId="77777777" w:rsidR="000F70A3" w:rsidRPr="000F70A3" w:rsidRDefault="000F70A3" w:rsidP="0091670A">
            <w:pPr>
              <w:pStyle w:val="72TabletextTablesTableFigureBoxstyles"/>
            </w:pPr>
            <w:r w:rsidRPr="000F70A3">
              <w:t>1/1 (100%)</w:t>
            </w:r>
          </w:p>
        </w:tc>
        <w:tc>
          <w:tcPr>
            <w:tcW w:w="0" w:type="auto"/>
            <w:shd w:val="clear" w:color="auto" w:fill="auto"/>
          </w:tcPr>
          <w:p w14:paraId="64636FF8" w14:textId="77777777" w:rsidR="000F70A3" w:rsidRPr="000F70A3" w:rsidRDefault="000F70A3" w:rsidP="0091670A">
            <w:pPr>
              <w:pStyle w:val="72TabletextTablesTableFigureBoxstyles"/>
            </w:pPr>
            <w:r w:rsidRPr="000F70A3">
              <w:t>-</w:t>
            </w:r>
          </w:p>
        </w:tc>
        <w:tc>
          <w:tcPr>
            <w:tcW w:w="0" w:type="auto"/>
            <w:shd w:val="clear" w:color="auto" w:fill="auto"/>
          </w:tcPr>
          <w:p w14:paraId="55CB56C8" w14:textId="77777777" w:rsidR="000F70A3" w:rsidRPr="000F70A3" w:rsidRDefault="000F70A3" w:rsidP="0091670A">
            <w:pPr>
              <w:pStyle w:val="72TabletextTablesTableFigureBoxstyles"/>
            </w:pPr>
            <w:r w:rsidRPr="000F70A3">
              <w:t>-</w:t>
            </w:r>
          </w:p>
        </w:tc>
      </w:tr>
      <w:tr w:rsidR="000F70A3" w:rsidRPr="000F70A3" w14:paraId="4EA972C6" w14:textId="77777777" w:rsidTr="0059567E">
        <w:trPr>
          <w:cantSplit/>
        </w:trPr>
        <w:tc>
          <w:tcPr>
            <w:tcW w:w="0" w:type="auto"/>
            <w:shd w:val="clear" w:color="auto" w:fill="auto"/>
          </w:tcPr>
          <w:p w14:paraId="337505F0" w14:textId="4A4202CE" w:rsidR="000F70A3" w:rsidRPr="0091670A" w:rsidRDefault="000F70A3" w:rsidP="0091670A">
            <w:pPr>
              <w:pStyle w:val="72TabletextTablesTableFigureBoxstyles"/>
              <w:rPr>
                <w:rFonts w:ascii="Arial" w:hAnsi="Arial" w:cs="Arial"/>
                <w:color w:val="4D5156"/>
                <w:sz w:val="21"/>
                <w:szCs w:val="21"/>
                <w:shd w:val="clear" w:color="auto" w:fill="FFFFFF"/>
              </w:rPr>
            </w:pPr>
            <w:r w:rsidRPr="000F70A3">
              <w:rPr>
                <w:rFonts w:cs="Calibri"/>
                <w:b/>
              </w:rPr>
              <w:t>M</w:t>
            </w:r>
            <w:r w:rsidRPr="000F70A3">
              <w:rPr>
                <w:rFonts w:cs="Calibri"/>
                <w:color w:val="4D5156"/>
                <w:shd w:val="clear" w:color="auto" w:fill="FFFFFF"/>
              </w:rPr>
              <w:t xml:space="preserve">ethicillin-resistant </w:t>
            </w:r>
            <w:r w:rsidRPr="000F70A3">
              <w:rPr>
                <w:rFonts w:cs="Calibri"/>
                <w:b/>
                <w:bCs/>
                <w:i/>
                <w:color w:val="00B0F0"/>
                <w:shd w:val="clear" w:color="auto" w:fill="FFFFFF"/>
              </w:rPr>
              <w:t>Staphylococcus aureus</w:t>
            </w:r>
            <w:r w:rsidRPr="000F70A3">
              <w:rPr>
                <w:rFonts w:cs="Calibri"/>
                <w:color w:val="4D5156"/>
                <w:shd w:val="clear" w:color="auto" w:fill="FFFFFF"/>
              </w:rPr>
              <w:t xml:space="preserve"> (</w:t>
            </w:r>
            <w:r w:rsidRPr="000F70A3">
              <w:rPr>
                <w:rFonts w:cs="Calibri"/>
                <w:b/>
                <w:bCs/>
                <w:color w:val="5F6368"/>
                <w:shd w:val="clear" w:color="auto" w:fill="FFFFFF"/>
              </w:rPr>
              <w:t>MRSA</w:t>
            </w:r>
            <w:r w:rsidRPr="000F70A3">
              <w:rPr>
                <w:rFonts w:cs="Calibri"/>
                <w:color w:val="4D5156"/>
                <w:shd w:val="clear" w:color="auto" w:fill="FFFFFF"/>
              </w:rPr>
              <w:t>) Cefoxitin Resistant</w:t>
            </w:r>
          </w:p>
        </w:tc>
        <w:tc>
          <w:tcPr>
            <w:tcW w:w="0" w:type="auto"/>
            <w:shd w:val="clear" w:color="auto" w:fill="auto"/>
          </w:tcPr>
          <w:p w14:paraId="2B71A207" w14:textId="77777777" w:rsidR="000F70A3" w:rsidRPr="000F70A3" w:rsidRDefault="000F70A3" w:rsidP="0091670A">
            <w:pPr>
              <w:pStyle w:val="72TabletextTablesTableFigureBoxstyles"/>
            </w:pPr>
            <w:r w:rsidRPr="000F70A3">
              <w:t>0/4 (0%)</w:t>
            </w:r>
          </w:p>
        </w:tc>
        <w:tc>
          <w:tcPr>
            <w:tcW w:w="0" w:type="auto"/>
            <w:shd w:val="clear" w:color="auto" w:fill="auto"/>
          </w:tcPr>
          <w:p w14:paraId="4161B837" w14:textId="77777777" w:rsidR="000F70A3" w:rsidRPr="000F70A3" w:rsidRDefault="000F70A3" w:rsidP="0091670A">
            <w:pPr>
              <w:pStyle w:val="72TabletextTablesTableFigureBoxstyles"/>
            </w:pPr>
            <w:r w:rsidRPr="000F70A3">
              <w:t>0/1 (0%)</w:t>
            </w:r>
          </w:p>
        </w:tc>
        <w:tc>
          <w:tcPr>
            <w:tcW w:w="0" w:type="auto"/>
            <w:shd w:val="clear" w:color="auto" w:fill="auto"/>
          </w:tcPr>
          <w:p w14:paraId="5CE4EF5E" w14:textId="77777777" w:rsidR="000F70A3" w:rsidRPr="000F70A3" w:rsidRDefault="000F70A3" w:rsidP="0091670A">
            <w:pPr>
              <w:pStyle w:val="72TabletextTablesTableFigureBoxstyles"/>
            </w:pPr>
            <w:r w:rsidRPr="000F70A3">
              <w:t>0/2 (0%)</w:t>
            </w:r>
          </w:p>
        </w:tc>
        <w:tc>
          <w:tcPr>
            <w:tcW w:w="0" w:type="auto"/>
            <w:shd w:val="clear" w:color="auto" w:fill="auto"/>
          </w:tcPr>
          <w:p w14:paraId="55BFDDBC" w14:textId="77777777" w:rsidR="000F70A3" w:rsidRPr="000F70A3" w:rsidRDefault="000F70A3" w:rsidP="0091670A">
            <w:pPr>
              <w:pStyle w:val="72TabletextTablesTableFigureBoxstyles"/>
            </w:pPr>
            <w:r w:rsidRPr="000F70A3">
              <w:t>-</w:t>
            </w:r>
          </w:p>
        </w:tc>
        <w:tc>
          <w:tcPr>
            <w:tcW w:w="0" w:type="auto"/>
            <w:shd w:val="clear" w:color="auto" w:fill="auto"/>
          </w:tcPr>
          <w:p w14:paraId="3CAA676A" w14:textId="77777777" w:rsidR="000F70A3" w:rsidRPr="000F70A3" w:rsidRDefault="000F70A3" w:rsidP="0091670A">
            <w:pPr>
              <w:pStyle w:val="72TabletextTablesTableFigureBoxstyles"/>
            </w:pPr>
            <w:r w:rsidRPr="000F70A3">
              <w:t>1/2 (50%)</w:t>
            </w:r>
          </w:p>
        </w:tc>
        <w:tc>
          <w:tcPr>
            <w:tcW w:w="0" w:type="auto"/>
            <w:shd w:val="clear" w:color="auto" w:fill="auto"/>
          </w:tcPr>
          <w:p w14:paraId="704E197C" w14:textId="77777777" w:rsidR="000F70A3" w:rsidRPr="000F70A3" w:rsidRDefault="000F70A3" w:rsidP="0091670A">
            <w:pPr>
              <w:pStyle w:val="72TabletextTablesTableFigureBoxstyles"/>
            </w:pPr>
            <w:r w:rsidRPr="000F70A3">
              <w:t>0/1 (0%)</w:t>
            </w:r>
          </w:p>
        </w:tc>
        <w:tc>
          <w:tcPr>
            <w:tcW w:w="0" w:type="auto"/>
            <w:shd w:val="clear" w:color="auto" w:fill="auto"/>
          </w:tcPr>
          <w:p w14:paraId="7F348AED" w14:textId="77777777" w:rsidR="000F70A3" w:rsidRPr="000F70A3" w:rsidRDefault="000F70A3" w:rsidP="0091670A">
            <w:pPr>
              <w:pStyle w:val="72TabletextTablesTableFigureBoxstyles"/>
            </w:pPr>
            <w:r w:rsidRPr="000F70A3">
              <w:t>-</w:t>
            </w:r>
          </w:p>
        </w:tc>
        <w:tc>
          <w:tcPr>
            <w:tcW w:w="0" w:type="auto"/>
            <w:shd w:val="clear" w:color="auto" w:fill="auto"/>
          </w:tcPr>
          <w:p w14:paraId="1DC2A10F" w14:textId="77777777" w:rsidR="000F70A3" w:rsidRPr="000F70A3" w:rsidRDefault="000F70A3" w:rsidP="0091670A">
            <w:pPr>
              <w:pStyle w:val="72TabletextTablesTableFigureBoxstyles"/>
            </w:pPr>
            <w:r w:rsidRPr="000F70A3">
              <w:t>-</w:t>
            </w:r>
          </w:p>
        </w:tc>
      </w:tr>
    </w:tbl>
    <w:bookmarkEnd w:id="40"/>
    <w:p w14:paraId="55A4E3DB" w14:textId="77777777" w:rsidR="000F70A3" w:rsidRPr="000F70A3" w:rsidRDefault="000F70A3" w:rsidP="0091670A">
      <w:pPr>
        <w:pStyle w:val="602TextfoTextstylesTextstyles"/>
      </w:pPr>
      <w:r w:rsidRPr="000F70A3">
        <w:rPr>
          <w:highlight w:val="magenta"/>
        </w:rPr>
        <w:t>Data</w:t>
      </w:r>
      <w:r w:rsidRPr="000F70A3">
        <w:t xml:space="preserve"> presented are number of isolates tested resistant</w:t>
      </w:r>
      <w:r w:rsidRPr="000F70A3">
        <w:rPr>
          <w:color w:val="00B0F0"/>
        </w:rPr>
        <w:t>/</w:t>
      </w:r>
      <w:r w:rsidRPr="000F70A3">
        <w:t>number of isolates tested (%)</w:t>
      </w:r>
    </w:p>
    <w:p w14:paraId="31C61ECD" w14:textId="77777777" w:rsidR="000F70A3" w:rsidRPr="000F70A3" w:rsidRDefault="000F70A3" w:rsidP="0091670A">
      <w:pPr>
        <w:pStyle w:val="602TextfoTextstylesTextstyles"/>
      </w:pPr>
      <w:r w:rsidRPr="000F70A3">
        <w:t xml:space="preserve">The minimum inhibitory concentrations of </w:t>
      </w:r>
      <w:r w:rsidRPr="000F70A3">
        <w:rPr>
          <w:i/>
          <w:iCs/>
        </w:rPr>
        <w:t>Haemophilus Influenzae</w:t>
      </w:r>
      <w:r w:rsidRPr="000F70A3">
        <w:t xml:space="preserve"> isolates against ampicillin, co-amoxiclav, and cefotaxime did not change significantly over time in either group (</w:t>
      </w:r>
      <w:r w:rsidRPr="000F70A3">
        <w:rPr>
          <w:highlight w:val="magenta"/>
        </w:rPr>
        <w:t>data</w:t>
      </w:r>
      <w:r w:rsidRPr="000F70A3">
        <w:t xml:space="preserve"> on request).</w:t>
      </w:r>
    </w:p>
    <w:p w14:paraId="18987AF0" w14:textId="77777777" w:rsidR="000F70A3" w:rsidRPr="000F70A3" w:rsidRDefault="000F70A3" w:rsidP="0091670A">
      <w:pPr>
        <w:pStyle w:val="602TextfoTextstylesTextstyles"/>
      </w:pPr>
      <w:r w:rsidRPr="000F70A3">
        <w:t xml:space="preserve">Antibiotic prescriptions in the three months prior to enrolment and during the </w:t>
      </w:r>
      <w:r w:rsidRPr="000F70A3">
        <w:rPr>
          <w:highlight w:val="magenta"/>
        </w:rPr>
        <w:t>follow up</w:t>
      </w:r>
      <w:r w:rsidRPr="000F70A3">
        <w:t xml:space="preserve"> period are described for each group in Report Supplementary Material 3 – Additional tables to Appendix 2. In the three months prior to enrolment in ARCHIE 19% (45/232) children were prescribed an antibiotic. In the 12month </w:t>
      </w:r>
      <w:r w:rsidRPr="000F70A3">
        <w:rPr>
          <w:highlight w:val="magenta"/>
        </w:rPr>
        <w:t>follow up</w:t>
      </w:r>
      <w:r w:rsidRPr="000F70A3">
        <w:t xml:space="preserve"> period only 6% (13/232) children received any antibiotic, Chi-square statistic = 20.18, </w:t>
      </w:r>
      <w:r w:rsidRPr="000F70A3">
        <w:rPr>
          <w:i/>
          <w:color w:val="00B0F0"/>
        </w:rPr>
        <w:t>p</w:t>
      </w:r>
      <w:r w:rsidRPr="000F70A3">
        <w:t xml:space="preserve"> </w:t>
      </w:r>
      <w:r w:rsidRPr="000F70A3">
        <w:rPr>
          <w:color w:val="00B0F0"/>
        </w:rPr>
        <w:t>&lt; </w:t>
      </w:r>
      <w:r w:rsidRPr="000F70A3">
        <w:t>0.00001. This large effect is both clinically important and statistically significant.</w:t>
      </w:r>
    </w:p>
    <w:p w14:paraId="2CB10236" w14:textId="77777777" w:rsidR="000F70A3" w:rsidRPr="000F70A3" w:rsidRDefault="000F70A3" w:rsidP="0091670A">
      <w:pPr>
        <w:pStyle w:val="602TextfoTextstylesTextstyles"/>
      </w:pPr>
      <w:r w:rsidRPr="000F70A3">
        <w:t xml:space="preserve">The number of prescriptions of any penicillin-based antibiotic including those combined with beta-lactamase were similar between the co-amoxiclav (18.6%, 22/118) and placebo (15.8%, 18/114) groups in the three months prior to enrolment. In both groups there were notably fewer antibiotics prescriptions issued in the 12 months </w:t>
      </w:r>
      <w:r w:rsidRPr="000F70A3">
        <w:rPr>
          <w:highlight w:val="magenta"/>
        </w:rPr>
        <w:t>follow up</w:t>
      </w:r>
      <w:r w:rsidRPr="000F70A3">
        <w:t xml:space="preserve"> period than in the 3 months prior to enrolment (co-amoxiclav 1.7%, 2/118 and placebo 7%, 8/114). There was no significant difference in antibiotic prescriptions issued by GPs in the </w:t>
      </w:r>
      <w:r w:rsidRPr="000F70A3">
        <w:rPr>
          <w:highlight w:val="magenta"/>
        </w:rPr>
        <w:t>follow up</w:t>
      </w:r>
      <w:r w:rsidRPr="000F70A3">
        <w:t xml:space="preserve"> period (see Report Supplementary Material 3 – Additional tables to Appendix 2). Chi-square statistic with Yates correction is 2.80, </w:t>
      </w:r>
      <w:r w:rsidRPr="000F70A3">
        <w:rPr>
          <w:i/>
          <w:color w:val="00B0F0"/>
        </w:rPr>
        <w:t xml:space="preserve">p = </w:t>
      </w:r>
      <w:r w:rsidRPr="000F70A3">
        <w:t>.094, not significant.</w:t>
      </w:r>
    </w:p>
    <w:p w14:paraId="1DAE8DDD" w14:textId="77777777" w:rsidR="000F70A3" w:rsidRPr="000F70A3" w:rsidRDefault="000F70A3" w:rsidP="0091670A">
      <w:pPr>
        <w:pStyle w:val="53BheadHeadingsHeadingstyles"/>
      </w:pPr>
      <w:r w:rsidRPr="000F70A3">
        <w:t>Limitations</w:t>
      </w:r>
    </w:p>
    <w:p w14:paraId="4C850C42" w14:textId="77777777" w:rsidR="000F70A3" w:rsidRPr="000F70A3" w:rsidRDefault="000F70A3" w:rsidP="0091670A">
      <w:pPr>
        <w:pStyle w:val="602TextfoTextstylesTextstyles"/>
      </w:pPr>
      <w:r w:rsidRPr="000F70A3">
        <w:t xml:space="preserve">Recruitment into the main trial was lower than originally estimated which had an impact on recruitment in the nested microbiology sub study. Retention rates between baseline and the 12- month time point were also lower than anticipated. </w:t>
      </w:r>
      <w:r w:rsidRPr="000F70A3">
        <w:rPr>
          <w:highlight w:val="magenta"/>
        </w:rPr>
        <w:t>Data</w:t>
      </w:r>
      <w:r w:rsidRPr="000F70A3">
        <w:t xml:space="preserve"> to conduct detailed statistical analysis was therefore limited.</w:t>
      </w:r>
    </w:p>
    <w:p w14:paraId="273429ED" w14:textId="77777777" w:rsidR="000F70A3" w:rsidRPr="000F70A3" w:rsidRDefault="000F70A3" w:rsidP="0091670A">
      <w:pPr>
        <w:pStyle w:val="54CheadHeadingsHeadingstyles"/>
      </w:pPr>
      <w:r w:rsidRPr="000F70A3">
        <w:t>Discussion</w:t>
      </w:r>
    </w:p>
    <w:p w14:paraId="17393CCC" w14:textId="77777777" w:rsidR="000F70A3" w:rsidRPr="000F70A3" w:rsidRDefault="000F70A3" w:rsidP="0091670A">
      <w:pPr>
        <w:pStyle w:val="602TextfoTextstylesTextstyles"/>
      </w:pPr>
      <w:r w:rsidRPr="000F70A3">
        <w:t xml:space="preserve">Previous well conducted longitudinal studies found short term increases, doubling risk of isolation of </w:t>
      </w:r>
      <w:r w:rsidRPr="000F70A3">
        <w:rPr>
          <w:i/>
          <w:iCs/>
        </w:rPr>
        <w:t>Haemophilus Influenzae</w:t>
      </w:r>
      <w:r w:rsidRPr="000F70A3">
        <w:t xml:space="preserve"> with resistant features within two weeks, but this was transient and had returned to baseline at 12 weeks.</w:t>
      </w:r>
    </w:p>
    <w:p w14:paraId="09DE0D78" w14:textId="77777777" w:rsidR="000F70A3" w:rsidRPr="000F70A3" w:rsidRDefault="000F70A3" w:rsidP="0091670A">
      <w:pPr>
        <w:pStyle w:val="602TextfoTextstylesTextstyles"/>
      </w:pPr>
      <w:r w:rsidRPr="000F70A3">
        <w:t>Obtaining baseline throat swabs from children was feasible with 83% of children providing a swab, however retention of participants over the period of study at 34% was lower than the 60% predicted. That combined with the reduced recruitment target meant there were only 47 subjects in the co-amoxiclav arm and 46 subjects in the placebo arm at 12months.</w:t>
      </w:r>
    </w:p>
    <w:p w14:paraId="26B76047" w14:textId="77777777" w:rsidR="000F70A3" w:rsidRPr="000F70A3" w:rsidRDefault="000F70A3" w:rsidP="0091670A">
      <w:pPr>
        <w:pStyle w:val="602TextfoTextstylesTextstyles"/>
      </w:pPr>
      <w:r w:rsidRPr="000F70A3">
        <w:t xml:space="preserve">There were sufficient participants and a sufficient proportion of these swabs isolated </w:t>
      </w:r>
      <w:r w:rsidRPr="000F70A3">
        <w:rPr>
          <w:i/>
          <w:iCs/>
        </w:rPr>
        <w:t>Haemophilus influenzae</w:t>
      </w:r>
      <w:r w:rsidRPr="000F70A3">
        <w:t xml:space="preserve"> to evidence no change in prevalence of this species over time. An important counterfactual observation was that there was no observed increase in resistant isolates of </w:t>
      </w:r>
      <w:r w:rsidRPr="000F70A3">
        <w:rPr>
          <w:i/>
          <w:iCs/>
        </w:rPr>
        <w:t>Haemophilus influenzae</w:t>
      </w:r>
      <w:r w:rsidRPr="000F70A3">
        <w:t xml:space="preserve">, </w:t>
      </w:r>
      <w:r w:rsidRPr="000F70A3">
        <w:rPr>
          <w:i/>
          <w:iCs/>
        </w:rPr>
        <w:t>Streptococcus pneumoniae</w:t>
      </w:r>
      <w:r w:rsidRPr="000F70A3">
        <w:t xml:space="preserve">, </w:t>
      </w:r>
      <w:r w:rsidRPr="000F70A3">
        <w:rPr>
          <w:i/>
          <w:iCs/>
        </w:rPr>
        <w:t>Streptococcus</w:t>
      </w:r>
      <w:r w:rsidRPr="000F70A3">
        <w:rPr>
          <w:iCs/>
          <w:color w:val="00B0F0"/>
        </w:rPr>
        <w:t xml:space="preserve"> sp.</w:t>
      </w:r>
      <w:r w:rsidRPr="000F70A3">
        <w:t xml:space="preserve"> or Methicillin Resistant </w:t>
      </w:r>
      <w:r w:rsidRPr="000F70A3">
        <w:rPr>
          <w:i/>
          <w:color w:val="00B0F0"/>
        </w:rPr>
        <w:t>Staphylococcus aureus</w:t>
      </w:r>
      <w:r w:rsidRPr="000F70A3">
        <w:t xml:space="preserve"> over time. Transient suppression of normal flora did not </w:t>
      </w:r>
      <w:r w:rsidRPr="000F70A3">
        <w:rPr>
          <w:highlight w:val="magenta"/>
        </w:rPr>
        <w:t>lead</w:t>
      </w:r>
      <w:r w:rsidRPr="000F70A3">
        <w:t xml:space="preserve"> to selection and persistence of resistant species.</w:t>
      </w:r>
    </w:p>
    <w:p w14:paraId="63F559A9" w14:textId="77777777" w:rsidR="000F70A3" w:rsidRPr="000F70A3" w:rsidRDefault="000F70A3" w:rsidP="0091670A">
      <w:pPr>
        <w:pStyle w:val="602TextfoTextstylesTextstyles"/>
      </w:pPr>
      <w:r w:rsidRPr="000F70A3">
        <w:t>There was no evidence of increase in bacterial load of potential pathogens</w:t>
      </w:r>
    </w:p>
    <w:p w14:paraId="567D8860" w14:textId="77777777" w:rsidR="000F70A3" w:rsidRPr="000F70A3" w:rsidRDefault="000F70A3" w:rsidP="0091670A">
      <w:pPr>
        <w:pStyle w:val="602TextfoTextstylesTextstyles"/>
      </w:pPr>
      <w:r w:rsidRPr="000F70A3">
        <w:t xml:space="preserve">A surprising observation was the substantial reduction in number of antibiotics prescriptions issued to ARCHIE participants during the 12-month period of </w:t>
      </w:r>
      <w:r w:rsidRPr="000F70A3">
        <w:rPr>
          <w:highlight w:val="magenta"/>
        </w:rPr>
        <w:t>follow up</w:t>
      </w:r>
      <w:r w:rsidRPr="000F70A3">
        <w:t xml:space="preserve"> suggesting a strong placebo effect to trial participation. This may reflect the confidence parents had in the regular safety monitoring provided by study participation or increased awareness about the risk of antimicrobial resistance.</w:t>
      </w:r>
    </w:p>
    <w:p w14:paraId="28E5BEDE" w14:textId="77777777" w:rsidR="000F70A3" w:rsidRPr="000F70A3" w:rsidRDefault="000F70A3" w:rsidP="0091670A">
      <w:pPr>
        <w:pStyle w:val="54CheadHeadingsHeadingstyles"/>
      </w:pPr>
      <w:r w:rsidRPr="000F70A3">
        <w:t>Conclusion</w:t>
      </w:r>
    </w:p>
    <w:p w14:paraId="10D80505" w14:textId="77777777" w:rsidR="000F70A3" w:rsidRPr="000F70A3" w:rsidRDefault="000F70A3" w:rsidP="0091670A">
      <w:pPr>
        <w:pStyle w:val="602TextfoTextstylesTextstyles"/>
        <w:rPr>
          <w:i/>
        </w:rPr>
      </w:pPr>
      <w:r w:rsidRPr="000F70A3">
        <w:t xml:space="preserve">We found no evidence that a single 5-day course of co-amoxiclav given early to children at-risk of complications or severe influenza when presenting with influenza-like-illness increasedthe long-term prevalence or antibiotic susceptibility of Haemophilus Influenzae, the most commonly isolated potential pathogen. Neither did this additional course of antibiotics </w:t>
      </w:r>
      <w:r w:rsidRPr="000F70A3">
        <w:rPr>
          <w:highlight w:val="magenta"/>
        </w:rPr>
        <w:t>lead</w:t>
      </w:r>
      <w:r w:rsidRPr="000F70A3">
        <w:t xml:space="preserve"> to emergence of other resistant species such as </w:t>
      </w:r>
      <w:r w:rsidRPr="000F70A3">
        <w:rPr>
          <w:i/>
          <w:iCs/>
        </w:rPr>
        <w:t>Streptococcus</w:t>
      </w:r>
      <w:r w:rsidRPr="000F70A3">
        <w:rPr>
          <w:iCs/>
          <w:color w:val="00B0F0"/>
        </w:rPr>
        <w:t xml:space="preserve"> sp.</w:t>
      </w:r>
      <w:r w:rsidRPr="000F70A3">
        <w:t xml:space="preserve"> or MRSA.</w:t>
      </w:r>
    </w:p>
    <w:p w14:paraId="4A455766" w14:textId="77777777" w:rsidR="000F70A3" w:rsidRPr="000F70A3" w:rsidRDefault="000F70A3" w:rsidP="0091670A">
      <w:pPr>
        <w:pStyle w:val="54CheadHeadingsHeadingstyles"/>
      </w:pPr>
      <w:r w:rsidRPr="000F70A3">
        <w:t>References</w:t>
      </w:r>
    </w:p>
    <w:p w14:paraId="6136C1F0" w14:textId="5EA8B58F" w:rsidR="000F70A3" w:rsidRPr="000F70A3" w:rsidRDefault="000F70A3" w:rsidP="0091670A">
      <w:pPr>
        <w:pStyle w:val="621TextnumberedlistTextstylesTextstyles"/>
      </w:pPr>
      <w:r w:rsidRPr="000F70A3">
        <w:t xml:space="preserve">Chung A, Perera R, Brueggemann AB, </w:t>
      </w:r>
      <w:r w:rsidRPr="000F70A3">
        <w:rPr>
          <w:i/>
          <w:iCs/>
        </w:rPr>
        <w:t>et al.</w:t>
      </w:r>
      <w:r w:rsidRPr="000F70A3">
        <w:t xml:space="preserve"> Effect of antibiotic prescribing on antibiotic resistance in individual children in primary care: prospective cohort study. </w:t>
      </w:r>
      <w:r w:rsidRPr="000F70A3">
        <w:rPr>
          <w:i/>
          <w:iCs/>
        </w:rPr>
        <w:t>BMJ</w:t>
      </w:r>
      <w:r w:rsidRPr="000F70A3">
        <w:t xml:space="preserve"> 2007;</w:t>
      </w:r>
      <w:r w:rsidRPr="000F70A3">
        <w:rPr>
          <w:b/>
          <w:bCs/>
        </w:rPr>
        <w:t>335</w:t>
      </w:r>
      <w:r w:rsidRPr="000F70A3">
        <w:t>:429. doi:10.1136/bmj.39274.647465.BE</w:t>
      </w:r>
    </w:p>
    <w:p w14:paraId="0CBB04E2" w14:textId="57B70C23" w:rsidR="000F70A3" w:rsidRPr="000F70A3" w:rsidRDefault="000F70A3" w:rsidP="0091670A">
      <w:pPr>
        <w:pStyle w:val="621TextnumberedlistTextstylesTextstyles"/>
        <w:rPr>
          <w:sz w:val="24"/>
          <w:szCs w:val="24"/>
        </w:rPr>
      </w:pPr>
      <w:r w:rsidRPr="000F70A3">
        <w:t xml:space="preserve">Malhotra-Kumar S, Lammens C, Coenen S, </w:t>
      </w:r>
      <w:r w:rsidRPr="000F70A3">
        <w:rPr>
          <w:i/>
          <w:iCs/>
        </w:rPr>
        <w:t>et al.</w:t>
      </w:r>
      <w:r w:rsidRPr="000F70A3">
        <w:t xml:space="preserve"> Effect of azithromycin and clarithromycin therapy o</w:t>
      </w:r>
      <w:r w:rsidRPr="000F70A3">
        <w:rPr>
          <w:sz w:val="24"/>
          <w:szCs w:val="24"/>
        </w:rPr>
        <w:t xml:space="preserve">n pharyngeal carriage of macrolide-resistant </w:t>
      </w:r>
      <w:r w:rsidRPr="000F70A3">
        <w:rPr>
          <w:color w:val="00B0F0"/>
          <w:sz w:val="24"/>
          <w:szCs w:val="24"/>
        </w:rPr>
        <w:t>streptococci</w:t>
      </w:r>
      <w:r w:rsidRPr="000F70A3">
        <w:rPr>
          <w:sz w:val="24"/>
          <w:szCs w:val="24"/>
        </w:rPr>
        <w:t xml:space="preserve"> in healthy volunteers: a randomised, double-blind, placebo-controlled study. </w:t>
      </w:r>
      <w:r w:rsidRPr="000F70A3">
        <w:rPr>
          <w:i/>
          <w:iCs/>
          <w:sz w:val="24"/>
          <w:szCs w:val="24"/>
        </w:rPr>
        <w:t>Lancet</w:t>
      </w:r>
      <w:r w:rsidRPr="000F70A3">
        <w:rPr>
          <w:sz w:val="24"/>
          <w:szCs w:val="24"/>
        </w:rPr>
        <w:t xml:space="preserve"> 2007;</w:t>
      </w:r>
      <w:r w:rsidRPr="000F70A3">
        <w:rPr>
          <w:b/>
          <w:bCs/>
          <w:sz w:val="24"/>
          <w:szCs w:val="24"/>
        </w:rPr>
        <w:t>369</w:t>
      </w:r>
      <w:r w:rsidRPr="000F70A3">
        <w:rPr>
          <w:sz w:val="24"/>
          <w:szCs w:val="24"/>
        </w:rPr>
        <w:t>:482–90. doi:10.1016/S0140</w:t>
      </w:r>
      <w:r w:rsidRPr="000F70A3">
        <w:rPr>
          <w:color w:val="00B0F0"/>
          <w:sz w:val="24"/>
          <w:szCs w:val="24"/>
        </w:rPr>
        <w:t>–6</w:t>
      </w:r>
      <w:r w:rsidRPr="000F70A3">
        <w:rPr>
          <w:sz w:val="24"/>
          <w:szCs w:val="24"/>
        </w:rPr>
        <w:t>736(07)60235</w:t>
      </w:r>
      <w:r w:rsidRPr="000F70A3">
        <w:rPr>
          <w:color w:val="00B0F0"/>
          <w:sz w:val="24"/>
          <w:szCs w:val="24"/>
        </w:rPr>
        <w:t>–9</w:t>
      </w:r>
    </w:p>
    <w:p w14:paraId="7DB70CC4" w14:textId="00D27BF8" w:rsidR="000F70A3" w:rsidRPr="000F70A3" w:rsidRDefault="000F70A3" w:rsidP="0091670A">
      <w:pPr>
        <w:pStyle w:val="621TextnumberedlistTextstylesTextstyles"/>
      </w:pPr>
      <w:r w:rsidRPr="000F70A3">
        <w:t>NICE. Antimicrobial stewardship: changing risk-related behaviours in the general population | Guidance | NICE. 2017.https://www.nice.org.uk/guidance/ng63 (accessed 13 Jan 2021).</w:t>
      </w:r>
    </w:p>
    <w:p w14:paraId="7271C405" w14:textId="781730C0" w:rsidR="000F70A3" w:rsidRPr="000F70A3" w:rsidRDefault="000F70A3" w:rsidP="0091670A">
      <w:pPr>
        <w:pStyle w:val="621TextnumberedlistTextstylesTextstyles"/>
      </w:pPr>
      <w:r w:rsidRPr="000F70A3">
        <w:t>ARCHIE Study. ARCHIE Nose &amp; Throat Swab Training Video. 2014. https://www.youtube.com/watch?v = A3QXTHplpD8 (accessed 13 Jan 2021).</w:t>
      </w:r>
    </w:p>
    <w:p w14:paraId="1179E7BC" w14:textId="54B534B3" w:rsidR="000F70A3" w:rsidRPr="000F70A3" w:rsidRDefault="000F70A3" w:rsidP="0091670A">
      <w:pPr>
        <w:pStyle w:val="6211TextnumberedlistlastTextstylesTextstyles"/>
      </w:pPr>
      <w:r w:rsidRPr="000F70A3">
        <w:t>Chi Square Calculator. https://www.socscistatistics.com/tests/chisquare2/default2.aspx (accessed 13 Jan 2021).</w:t>
      </w:r>
    </w:p>
    <w:p w14:paraId="0CBBCAC7" w14:textId="23ACC47F" w:rsidR="000F70A3" w:rsidRPr="000F70A3" w:rsidRDefault="0091670A" w:rsidP="0091670A">
      <w:pPr>
        <w:pStyle w:val="43AppendixtitleHeadingsHeadingstyles"/>
        <w:rPr>
          <w:rFonts w:eastAsia="DengXian Light"/>
          <w:lang w:eastAsia="en-GB"/>
        </w:rPr>
      </w:pPr>
      <w:bookmarkStart w:id="41" w:name="_Toc61506843"/>
      <w:bookmarkStart w:id="42" w:name="_Toc106099139"/>
      <w:r>
        <w:rPr>
          <w:rFonts w:eastAsia="DengXian Light"/>
          <w:lang w:eastAsia="en-GB"/>
        </w:rPr>
        <w:t>Appendix 3</w:t>
      </w:r>
      <w:r>
        <w:rPr>
          <w:rFonts w:eastAsia="DengXian Light"/>
          <w:lang w:eastAsia="en-GB"/>
        </w:rPr>
        <w:t> </w:t>
      </w:r>
      <w:r w:rsidR="000F70A3" w:rsidRPr="000F70A3">
        <w:rPr>
          <w:rFonts w:eastAsia="DengXian Light"/>
          <w:lang w:eastAsia="en-GB"/>
        </w:rPr>
        <w:t>Work Package E.I Summary Report</w:t>
      </w:r>
      <w:bookmarkEnd w:id="41"/>
      <w:bookmarkEnd w:id="42"/>
    </w:p>
    <w:p w14:paraId="1B5EDF9B" w14:textId="77777777" w:rsidR="000F70A3" w:rsidRPr="000F70A3" w:rsidRDefault="000F70A3" w:rsidP="0091670A">
      <w:pPr>
        <w:pStyle w:val="52AheadHeadingsHeadingstyles"/>
      </w:pPr>
      <w:r w:rsidRPr="000F70A3">
        <w:t>Introduction</w:t>
      </w:r>
    </w:p>
    <w:p w14:paraId="21B4F056" w14:textId="77777777" w:rsidR="000F70A3" w:rsidRPr="000F70A3" w:rsidRDefault="000F70A3" w:rsidP="0091670A">
      <w:pPr>
        <w:pStyle w:val="602TextfoTextstylesTextstyles"/>
      </w:pPr>
      <w:r w:rsidRPr="000F70A3">
        <w:rPr>
          <w:color w:val="00B0F0"/>
        </w:rPr>
        <w:t>Decision-mak</w:t>
      </w:r>
      <w:r w:rsidRPr="000F70A3">
        <w:t xml:space="preserve">ing surrounding the treatment of children presenting with influenza and influenza like illness is often complex with competing factors requiring consideration. We aimed to use </w:t>
      </w:r>
      <w:r w:rsidRPr="000F70A3">
        <w:rPr>
          <w:highlight w:val="magenta"/>
        </w:rPr>
        <w:t>data</w:t>
      </w:r>
      <w:r w:rsidRPr="000F70A3">
        <w:t xml:space="preserve"> gathered as part of the ARCHIE Study to identify which subsets of </w:t>
      </w:r>
      <w:r w:rsidRPr="000F70A3">
        <w:rPr>
          <w:color w:val="00B0F0"/>
        </w:rPr>
        <w:t>‘</w:t>
      </w:r>
      <w:r w:rsidRPr="000F70A3">
        <w:t>at risk</w:t>
      </w:r>
      <w:r w:rsidRPr="000F70A3">
        <w:rPr>
          <w:color w:val="00B0F0"/>
        </w:rPr>
        <w:t>’</w:t>
      </w:r>
      <w:r w:rsidRPr="000F70A3">
        <w:t xml:space="preserve"> children may benefit most from treatment with co-amoxiclav to ensure that antibiotic stocks are managed responsibly and that children who are most likely to benefit do not have treatment delayed.</w:t>
      </w:r>
    </w:p>
    <w:p w14:paraId="3574E178" w14:textId="77777777" w:rsidR="000F70A3" w:rsidRPr="000F70A3" w:rsidRDefault="000F70A3" w:rsidP="0091670A">
      <w:pPr>
        <w:pStyle w:val="52AheadHeadingsHeadingstyles"/>
      </w:pPr>
      <w:r w:rsidRPr="000F70A3">
        <w:t>Methods</w:t>
      </w:r>
    </w:p>
    <w:p w14:paraId="5FFA8458" w14:textId="77777777" w:rsidR="000F70A3" w:rsidRPr="000F70A3" w:rsidRDefault="000F70A3" w:rsidP="0091670A">
      <w:pPr>
        <w:pStyle w:val="53BheadHeadingsHeadingstyles"/>
      </w:pPr>
      <w:r w:rsidRPr="000F70A3">
        <w:t>Objective</w:t>
      </w:r>
    </w:p>
    <w:p w14:paraId="28B41650" w14:textId="77777777" w:rsidR="000F70A3" w:rsidRPr="000F70A3" w:rsidRDefault="000F70A3" w:rsidP="0091670A">
      <w:pPr>
        <w:pStyle w:val="602TextfoTextstylesTextstyles"/>
      </w:pPr>
      <w:r w:rsidRPr="000F70A3">
        <w:t xml:space="preserve">We originally sought to develop </w:t>
      </w:r>
      <w:r w:rsidRPr="000F70A3">
        <w:rPr>
          <w:b/>
        </w:rPr>
        <w:t xml:space="preserve">four </w:t>
      </w:r>
      <w:r w:rsidRPr="000F70A3">
        <w:t>multivariable risk scores.</w:t>
      </w:r>
    </w:p>
    <w:p w14:paraId="1FC8B595" w14:textId="77777777" w:rsidR="000F70A3" w:rsidRPr="000F70A3" w:rsidRDefault="000F70A3" w:rsidP="0091670A">
      <w:pPr>
        <w:pStyle w:val="602TextfoTextstylesTextstyles"/>
      </w:pPr>
      <w:r w:rsidRPr="000F70A3">
        <w:t>These were to be based on different covariates and different outcomes stated below:</w:t>
      </w:r>
    </w:p>
    <w:p w14:paraId="71EAE9A5" w14:textId="77777777" w:rsidR="000F70A3" w:rsidRPr="000F70A3" w:rsidRDefault="000F70A3" w:rsidP="0091670A">
      <w:pPr>
        <w:pStyle w:val="52AheadHeadingsHeadingstyles"/>
      </w:pPr>
      <w:r w:rsidRPr="000F70A3">
        <w:t>Model 1</w:t>
      </w:r>
    </w:p>
    <w:p w14:paraId="5C125AF2" w14:textId="77777777" w:rsidR="000F70A3" w:rsidRPr="000F70A3" w:rsidRDefault="000F70A3" w:rsidP="0091670A">
      <w:pPr>
        <w:pStyle w:val="602TextfoTextstylesTextstyles"/>
      </w:pPr>
      <w:r w:rsidRPr="000F70A3">
        <w:t xml:space="preserve">Outcome: re-consultation </w:t>
      </w:r>
      <w:r w:rsidRPr="000F70A3">
        <w:rPr>
          <w:highlight w:val="magenta"/>
        </w:rPr>
        <w:t>due to</w:t>
      </w:r>
      <w:r w:rsidRPr="000F70A3">
        <w:t xml:space="preserve"> clinical deterioration</w:t>
      </w:r>
    </w:p>
    <w:p w14:paraId="4737E76E" w14:textId="77777777" w:rsidR="000F70A3" w:rsidRPr="000F70A3" w:rsidRDefault="000F70A3" w:rsidP="0091670A">
      <w:pPr>
        <w:pStyle w:val="602TextfoTextstylesTextstyles"/>
      </w:pPr>
      <w:r w:rsidRPr="000F70A3">
        <w:t>Covariates: age, type of comorbidity, household smoking status, PCV and influenza vaccination status, influenza activity in the community, early co-amoxiclav treatment</w:t>
      </w:r>
    </w:p>
    <w:p w14:paraId="46B647EB" w14:textId="77777777" w:rsidR="000F70A3" w:rsidRPr="000F70A3" w:rsidRDefault="000F70A3" w:rsidP="0091670A">
      <w:pPr>
        <w:pStyle w:val="52AheadHeadingsHeadingstyles"/>
      </w:pPr>
      <w:r w:rsidRPr="000F70A3">
        <w:t>Model 2</w:t>
      </w:r>
    </w:p>
    <w:p w14:paraId="59F1DDDB" w14:textId="77777777" w:rsidR="000F70A3" w:rsidRPr="000F70A3" w:rsidRDefault="000F70A3" w:rsidP="0091670A">
      <w:pPr>
        <w:pStyle w:val="602TextfoTextstylesTextstyles"/>
      </w:pPr>
      <w:r w:rsidRPr="000F70A3">
        <w:t>Outcome: complications resulting in clinical intervention</w:t>
      </w:r>
    </w:p>
    <w:p w14:paraId="2ED91272" w14:textId="77777777" w:rsidR="000F70A3" w:rsidRPr="000F70A3" w:rsidRDefault="000F70A3" w:rsidP="0091670A">
      <w:pPr>
        <w:pStyle w:val="602TextfoTextstylesTextstyles"/>
      </w:pPr>
      <w:r w:rsidRPr="000F70A3">
        <w:t>Covariates: age, type of comorbidity, household smoking status, PCV and influenza vaccination status, influenza activity in the community, early co-amoxiclav treatment</w:t>
      </w:r>
    </w:p>
    <w:p w14:paraId="58A56ADE" w14:textId="77777777" w:rsidR="000F70A3" w:rsidRPr="000F70A3" w:rsidRDefault="000F70A3" w:rsidP="0091670A">
      <w:pPr>
        <w:pStyle w:val="52AheadHeadingsHeadingstyles"/>
      </w:pPr>
      <w:r w:rsidRPr="000F70A3">
        <w:t>Model 3</w:t>
      </w:r>
    </w:p>
    <w:p w14:paraId="5D019D1D" w14:textId="77777777" w:rsidR="000F70A3" w:rsidRPr="000F70A3" w:rsidRDefault="000F70A3" w:rsidP="0091670A">
      <w:pPr>
        <w:pStyle w:val="602TextfoTextstylesTextstyles"/>
      </w:pPr>
      <w:r w:rsidRPr="000F70A3">
        <w:t xml:space="preserve">Outcome: re-consultation </w:t>
      </w:r>
      <w:r w:rsidRPr="000F70A3">
        <w:rPr>
          <w:highlight w:val="magenta"/>
        </w:rPr>
        <w:t>due to</w:t>
      </w:r>
      <w:r w:rsidRPr="000F70A3">
        <w:t xml:space="preserve"> clinical deterioration</w:t>
      </w:r>
    </w:p>
    <w:p w14:paraId="21F552E7" w14:textId="77777777" w:rsidR="000F70A3" w:rsidRPr="000F70A3" w:rsidRDefault="000F70A3" w:rsidP="0091670A">
      <w:pPr>
        <w:pStyle w:val="602TextfoTextstylesTextstyles"/>
      </w:pPr>
      <w:r w:rsidRPr="000F70A3">
        <w:t>Covariates: variables related to the acute illness episode: duration of illness, heart rate and respiratory rate. Age will also be included.</w:t>
      </w:r>
    </w:p>
    <w:p w14:paraId="5B7A3AF0" w14:textId="77777777" w:rsidR="000F70A3" w:rsidRPr="000F70A3" w:rsidRDefault="000F70A3" w:rsidP="0091670A">
      <w:pPr>
        <w:pStyle w:val="52AheadHeadingsHeadingstyles"/>
      </w:pPr>
      <w:r w:rsidRPr="000F70A3">
        <w:t>Model 4</w:t>
      </w:r>
    </w:p>
    <w:p w14:paraId="7B33ECEA" w14:textId="77777777" w:rsidR="000F70A3" w:rsidRPr="000F70A3" w:rsidRDefault="000F70A3" w:rsidP="0091670A">
      <w:pPr>
        <w:pStyle w:val="602TextfoTextstylesTextstyles"/>
      </w:pPr>
      <w:r w:rsidRPr="000F70A3">
        <w:t>Outcome: complications resulting in clinical intervention</w:t>
      </w:r>
    </w:p>
    <w:p w14:paraId="1214C426" w14:textId="77777777" w:rsidR="000F70A3" w:rsidRPr="000F70A3" w:rsidRDefault="000F70A3" w:rsidP="0091670A">
      <w:pPr>
        <w:pStyle w:val="602TextfoTextstylesTextstyles"/>
      </w:pPr>
      <w:r w:rsidRPr="000F70A3">
        <w:t>Covariates: variables related to the acute illness episode: duration of illness, heart rate and respiratory rate age will also be included.</w:t>
      </w:r>
    </w:p>
    <w:p w14:paraId="41B59216" w14:textId="77777777" w:rsidR="000F70A3" w:rsidRPr="000F70A3" w:rsidRDefault="000F70A3" w:rsidP="0091670A">
      <w:pPr>
        <w:pStyle w:val="602TextfoTextstylesTextstyles"/>
      </w:pPr>
      <w:r w:rsidRPr="000F70A3">
        <w:t>Restriction:</w:t>
      </w:r>
    </w:p>
    <w:p w14:paraId="6DB23D3E" w14:textId="77777777" w:rsidR="000F70A3" w:rsidRPr="000F70A3" w:rsidRDefault="000F70A3" w:rsidP="0091670A">
      <w:pPr>
        <w:pStyle w:val="602TextfoTextstylesTextstyles"/>
        <w:rPr>
          <w:b/>
        </w:rPr>
      </w:pPr>
      <w:r w:rsidRPr="000F70A3">
        <w:t xml:space="preserve">We stipulated at the outset of our research programme that if less than 100 children receive a clinical intervention, we will only calculate risk scores based on re-consultation </w:t>
      </w:r>
      <w:r w:rsidRPr="000F70A3">
        <w:rPr>
          <w:highlight w:val="magenta"/>
        </w:rPr>
        <w:t>due to</w:t>
      </w:r>
      <w:r w:rsidRPr="000F70A3">
        <w:t xml:space="preserve"> clinical deterioration.</w:t>
      </w:r>
    </w:p>
    <w:p w14:paraId="69E458E6" w14:textId="77777777" w:rsidR="000F70A3" w:rsidRPr="000F70A3" w:rsidRDefault="000F70A3" w:rsidP="0091670A">
      <w:pPr>
        <w:pStyle w:val="53BheadHeadingsHeadingstyles"/>
      </w:pPr>
      <w:r w:rsidRPr="000F70A3">
        <w:t>Analysis</w:t>
      </w:r>
    </w:p>
    <w:p w14:paraId="7833669D" w14:textId="77777777" w:rsidR="000F70A3" w:rsidRPr="000F70A3" w:rsidRDefault="000F70A3" w:rsidP="0091670A">
      <w:pPr>
        <w:pStyle w:val="602TextfoTextstylesTextstyles"/>
      </w:pPr>
      <w:r w:rsidRPr="000F70A3">
        <w:t xml:space="preserve">A total of 74 children received a clinical intervention and 61 re-consulted </w:t>
      </w:r>
      <w:r w:rsidRPr="000F70A3">
        <w:rPr>
          <w:highlight w:val="magenta"/>
        </w:rPr>
        <w:t>due to</w:t>
      </w:r>
      <w:r w:rsidRPr="000F70A3">
        <w:t xml:space="preserve"> clinical deterioration. This means that only Models for the outcome of consultation </w:t>
      </w:r>
      <w:r w:rsidRPr="000F70A3">
        <w:rPr>
          <w:highlight w:val="magenta"/>
        </w:rPr>
        <w:t>due to</w:t>
      </w:r>
      <w:r w:rsidRPr="000F70A3">
        <w:t xml:space="preserve"> clinical deterioration (Models 1 and 3) were created. There is also an issue of total number of events which means that only a small number of covariates could be included. Based on an analysis (post-hoc) following Riley</w:t>
      </w:r>
      <w:r w:rsidRPr="000F70A3">
        <w:rPr>
          <w:color w:val="00B0F0"/>
        </w:rPr>
        <w:t>’</w:t>
      </w:r>
      <w:r w:rsidRPr="000F70A3">
        <w:t>s</w:t>
      </w:r>
      <w:r w:rsidRPr="000F70A3">
        <w:rPr>
          <w:vertAlign w:val="superscript"/>
        </w:rPr>
        <w:t>1</w:t>
      </w:r>
      <w:r w:rsidRPr="000F70A3">
        <w:t xml:space="preserve"> recommendation for total number of covariates (parameters) that can be included in the model. We identified that for a model with just two covariates, a sample of nearly 7,000 children would have been required. This suggests that the models presented below should be treated as exploratory only. See Report Supplementary Material 4 Determining number of covariates (parameters) for prediction model in ARCHIE for details on these calculations.</w:t>
      </w:r>
    </w:p>
    <w:p w14:paraId="66F486ED" w14:textId="77777777" w:rsidR="000F70A3" w:rsidRPr="000F70A3" w:rsidRDefault="000F70A3" w:rsidP="0091670A">
      <w:pPr>
        <w:pStyle w:val="52AheadHeadingsHeadingstyles"/>
      </w:pPr>
      <w:r w:rsidRPr="000F70A3">
        <w:t>As the outcome is binary, we used logistic regression for our models.</w:t>
      </w:r>
    </w:p>
    <w:p w14:paraId="4DE90F88" w14:textId="77777777" w:rsidR="000F70A3" w:rsidRPr="000F70A3" w:rsidRDefault="000F70A3" w:rsidP="0091670A">
      <w:pPr>
        <w:pStyle w:val="602TextfoTextstylesTextstyles"/>
      </w:pPr>
      <w:r w:rsidRPr="000F70A3">
        <w:t xml:space="preserve">For each risk score, our intention was to form three risk subgroups (low, medium and high risk). When estimating the sample size for our randomised controlled trial, we estimated that around 40% of children in the placebo group would re-consult </w:t>
      </w:r>
      <w:r w:rsidRPr="000F70A3">
        <w:rPr>
          <w:highlight w:val="magenta"/>
        </w:rPr>
        <w:t>due to</w:t>
      </w:r>
      <w:r w:rsidRPr="000F70A3">
        <w:t xml:space="preserve"> clinical deterioration. Based on this, we pre-specified that medium risk would be defined as 30</w:t>
      </w:r>
      <w:r w:rsidRPr="000F70A3">
        <w:rPr>
          <w:color w:val="00B0F0"/>
        </w:rPr>
        <w:t>–4</w:t>
      </w:r>
      <w:r w:rsidRPr="000F70A3">
        <w:t xml:space="preserve">0%, low risk as </w:t>
      </w:r>
      <w:r w:rsidRPr="000F70A3">
        <w:rPr>
          <w:color w:val="00B0F0"/>
        </w:rPr>
        <w:t>&lt; 3</w:t>
      </w:r>
      <w:r w:rsidRPr="000F70A3">
        <w:t xml:space="preserve">0% and high risk as </w:t>
      </w:r>
      <w:r w:rsidRPr="000F70A3">
        <w:rPr>
          <w:color w:val="00B0F0"/>
        </w:rPr>
        <w:t>&gt; 4</w:t>
      </w:r>
      <w:r w:rsidRPr="000F70A3">
        <w:t>0%.</w:t>
      </w:r>
    </w:p>
    <w:p w14:paraId="0105C1A8" w14:textId="77777777" w:rsidR="000F70A3" w:rsidRPr="000F70A3" w:rsidRDefault="000F70A3" w:rsidP="0091670A">
      <w:pPr>
        <w:pStyle w:val="602TextfoTextstylesTextstyles"/>
      </w:pPr>
      <w:r w:rsidRPr="000F70A3">
        <w:t>Our selection of risk factors were:</w:t>
      </w:r>
    </w:p>
    <w:p w14:paraId="54E2F710" w14:textId="6916FDD4" w:rsidR="000F70A3" w:rsidRPr="000F70A3" w:rsidRDefault="000F70A3" w:rsidP="0091670A">
      <w:pPr>
        <w:pStyle w:val="611BulletlistTextstyles"/>
      </w:pPr>
      <w:r w:rsidRPr="000F70A3">
        <w:t>Age</w:t>
      </w:r>
    </w:p>
    <w:p w14:paraId="222D0106" w14:textId="32149E42" w:rsidR="000F70A3" w:rsidRPr="000F70A3" w:rsidRDefault="000F70A3" w:rsidP="0091670A">
      <w:pPr>
        <w:pStyle w:val="611BulletlistTextstyles"/>
      </w:pPr>
      <w:r w:rsidRPr="000F70A3">
        <w:t>type of co-morbidity (there are several of these, have been treated separately)</w:t>
      </w:r>
    </w:p>
    <w:p w14:paraId="338D0AD0" w14:textId="5C082790" w:rsidR="000F70A3" w:rsidRPr="000F70A3" w:rsidRDefault="000F70A3" w:rsidP="0091670A">
      <w:pPr>
        <w:pStyle w:val="611BulletlistTextstyles"/>
      </w:pPr>
      <w:r w:rsidRPr="000F70A3">
        <w:t>household smoking status</w:t>
      </w:r>
    </w:p>
    <w:p w14:paraId="44E499EA" w14:textId="3FE29422" w:rsidR="000F70A3" w:rsidRPr="000F70A3" w:rsidRDefault="000F70A3" w:rsidP="0091670A">
      <w:pPr>
        <w:pStyle w:val="611BulletlistTextstyles"/>
      </w:pPr>
      <w:r w:rsidRPr="000F70A3">
        <w:t>administration of the pneumococcal conjugate vaccine (PCV).</w:t>
      </w:r>
    </w:p>
    <w:p w14:paraId="10F1835F" w14:textId="7259A780" w:rsidR="000F70A3" w:rsidRPr="000F70A3" w:rsidRDefault="000F70A3" w:rsidP="0091670A">
      <w:pPr>
        <w:pStyle w:val="614TextbulletlistlastTextstylesTextstyles"/>
      </w:pPr>
      <w:r w:rsidRPr="000F70A3">
        <w:t>early co-amoxiclav treatment (group)</w:t>
      </w:r>
    </w:p>
    <w:p w14:paraId="1C49936E" w14:textId="77777777" w:rsidR="000F70A3" w:rsidRPr="000F70A3" w:rsidRDefault="000F70A3" w:rsidP="0091670A">
      <w:pPr>
        <w:pStyle w:val="602TextfoTextstylesTextstyles"/>
      </w:pPr>
      <w:r w:rsidRPr="000F70A3">
        <w:t xml:space="preserve">We also considered </w:t>
      </w:r>
      <w:r w:rsidRPr="000F70A3">
        <w:rPr>
          <w:highlight w:val="magenta"/>
        </w:rPr>
        <w:t>data</w:t>
      </w:r>
      <w:r w:rsidRPr="000F70A3">
        <w:t xml:space="preserve"> from each participant at the time of initial presentation on</w:t>
      </w:r>
    </w:p>
    <w:p w14:paraId="4DA9941D" w14:textId="183F6AA2" w:rsidR="000F70A3" w:rsidRPr="000F70A3" w:rsidRDefault="000F70A3" w:rsidP="0091670A">
      <w:pPr>
        <w:pStyle w:val="611BulletlistTextstyles"/>
      </w:pPr>
      <w:r w:rsidRPr="000F70A3">
        <w:t>duration of illness</w:t>
      </w:r>
    </w:p>
    <w:p w14:paraId="7DA3FC5D" w14:textId="53EA9308" w:rsidR="000F70A3" w:rsidRPr="000F70A3" w:rsidRDefault="000F70A3" w:rsidP="0091670A">
      <w:pPr>
        <w:pStyle w:val="611BulletlistTextstyles"/>
      </w:pPr>
      <w:r w:rsidRPr="000F70A3">
        <w:t>heart rate</w:t>
      </w:r>
    </w:p>
    <w:p w14:paraId="17158834" w14:textId="69176D00" w:rsidR="000F70A3" w:rsidRPr="000F70A3" w:rsidRDefault="000F70A3" w:rsidP="0091670A">
      <w:pPr>
        <w:pStyle w:val="614TextbulletlistlastTextstylesTextstyles"/>
      </w:pPr>
      <w:r w:rsidRPr="000F70A3">
        <w:t>respiratory rate</w:t>
      </w:r>
    </w:p>
    <w:p w14:paraId="3016F5A7" w14:textId="77777777" w:rsidR="000F70A3" w:rsidRPr="000F70A3" w:rsidRDefault="000F70A3" w:rsidP="0091670A">
      <w:pPr>
        <w:pStyle w:val="602TextfoTextstylesTextstyles"/>
      </w:pPr>
      <w:r w:rsidRPr="000F70A3">
        <w:t xml:space="preserve">We also collected </w:t>
      </w:r>
      <w:r w:rsidRPr="000F70A3">
        <w:rPr>
          <w:highlight w:val="magenta"/>
        </w:rPr>
        <w:t>data</w:t>
      </w:r>
      <w:r w:rsidRPr="000F70A3">
        <w:t xml:space="preserve"> on risk factors for laboratory-confirmed influenza. These included</w:t>
      </w:r>
    </w:p>
    <w:p w14:paraId="7BDADB6F" w14:textId="67A88414" w:rsidR="000F70A3" w:rsidRPr="000F70A3" w:rsidRDefault="000F70A3" w:rsidP="0091670A">
      <w:pPr>
        <w:pStyle w:val="611BulletlistTextstyles"/>
      </w:pPr>
      <w:r w:rsidRPr="000F70A3">
        <w:t>administration of the current season</w:t>
      </w:r>
      <w:r w:rsidRPr="000F70A3">
        <w:rPr>
          <w:color w:val="00B0F0"/>
        </w:rPr>
        <w:t>’</w:t>
      </w:r>
      <w:r w:rsidRPr="000F70A3">
        <w:t>s influenza vaccines</w:t>
      </w:r>
    </w:p>
    <w:p w14:paraId="16213460" w14:textId="46DFEF92" w:rsidR="000F70A3" w:rsidRPr="000F70A3" w:rsidRDefault="000F70A3" w:rsidP="0091670A">
      <w:pPr>
        <w:pStyle w:val="614TextbulletlistlastTextstylesTextstyles"/>
      </w:pPr>
      <w:r w:rsidRPr="000F70A3">
        <w:t>administration of previous season</w:t>
      </w:r>
      <w:r w:rsidRPr="000F70A3">
        <w:rPr>
          <w:color w:val="00B0F0"/>
        </w:rPr>
        <w:t>’</w:t>
      </w:r>
      <w:r w:rsidRPr="000F70A3">
        <w:t>s influenza vaccines</w:t>
      </w:r>
    </w:p>
    <w:p w14:paraId="12E314E1" w14:textId="77777777" w:rsidR="000F70A3" w:rsidRPr="000F70A3" w:rsidRDefault="000F70A3" w:rsidP="0091670A">
      <w:pPr>
        <w:pStyle w:val="602TextfoTextstylesTextstyles"/>
      </w:pPr>
      <w:r w:rsidRPr="000F70A3">
        <w:t>A total of 37 participants had laboratory-confirmed influenza</w:t>
      </w:r>
    </w:p>
    <w:p w14:paraId="2CA4B296" w14:textId="77777777" w:rsidR="000F70A3" w:rsidRPr="000F70A3" w:rsidRDefault="000F70A3" w:rsidP="0091670A">
      <w:pPr>
        <w:pStyle w:val="602TextfoTextstylesTextstyles"/>
      </w:pPr>
      <w:r w:rsidRPr="000F70A3">
        <w:t xml:space="preserve">A total of 271 participants were randomised; re-consultation </w:t>
      </w:r>
      <w:r w:rsidRPr="000F70A3">
        <w:rPr>
          <w:highlight w:val="magenta"/>
        </w:rPr>
        <w:t>due to</w:t>
      </w:r>
      <w:r w:rsidRPr="000F70A3">
        <w:t xml:space="preserve"> clinical deterioration) (yes/no) </w:t>
      </w:r>
      <w:r w:rsidRPr="000F70A3">
        <w:rPr>
          <w:highlight w:val="magenta"/>
        </w:rPr>
        <w:t>data</w:t>
      </w:r>
      <w:r w:rsidRPr="000F70A3">
        <w:t xml:space="preserve"> are available for 265 participants. Of these 265, 61 children re-consulted </w:t>
      </w:r>
      <w:r w:rsidRPr="000F70A3">
        <w:rPr>
          <w:highlight w:val="magenta"/>
        </w:rPr>
        <w:t>due to</w:t>
      </w:r>
      <w:r w:rsidRPr="000F70A3">
        <w:t xml:space="preserve"> clinical deterioration.</w:t>
      </w:r>
    </w:p>
    <w:p w14:paraId="4563FCD5" w14:textId="77777777" w:rsidR="000F70A3" w:rsidRPr="000F70A3" w:rsidRDefault="000F70A3" w:rsidP="0091670A">
      <w:pPr>
        <w:pStyle w:val="602TextfoTextstylesTextstyles"/>
      </w:pPr>
      <w:r w:rsidRPr="000F70A3">
        <w:t>The number of outcome events we observed was not sufficient to be able to create a model that includes all these characteristics at the same time, based on Altman</w:t>
      </w:r>
      <w:r w:rsidRPr="000F70A3">
        <w:rPr>
          <w:color w:val="00B0F0"/>
        </w:rPr>
        <w:t>’</w:t>
      </w:r>
      <w:r w:rsidRPr="000F70A3">
        <w:t xml:space="preserve">s rule of </w:t>
      </w:r>
      <w:r w:rsidRPr="000F70A3">
        <w:rPr>
          <w:i/>
          <w:color w:val="00B0F0"/>
        </w:rPr>
        <w:t>n</w:t>
      </w:r>
      <w:r w:rsidRPr="000F70A3">
        <w:t>/10 and square root rule</w:t>
      </w:r>
      <w:r w:rsidRPr="000F70A3">
        <w:rPr>
          <w:vertAlign w:val="superscript"/>
        </w:rPr>
        <w:t>2</w:t>
      </w:r>
      <w:r w:rsidRPr="000F70A3">
        <w:t xml:space="preserve">. We therefore looked at univariable associations. Only those that have an association with a </w:t>
      </w:r>
      <w:r w:rsidRPr="000F70A3">
        <w:rPr>
          <w:i/>
          <w:color w:val="00B0F0"/>
        </w:rPr>
        <w:t>p</w:t>
      </w:r>
      <w:r w:rsidRPr="000F70A3">
        <w:t xml:space="preserve">-value </w:t>
      </w:r>
      <w:r w:rsidRPr="000F70A3">
        <w:rPr>
          <w:color w:val="00B0F0"/>
        </w:rPr>
        <w:t>&lt; 0</w:t>
      </w:r>
      <w:r w:rsidRPr="000F70A3">
        <w:t xml:space="preserve">.1 were included in a multivariable model. Age was included in all evaluations (including </w:t>
      </w:r>
      <w:r w:rsidRPr="000F70A3">
        <w:rPr>
          <w:color w:val="00B0F0"/>
        </w:rPr>
        <w:t>‘</w:t>
      </w:r>
      <w:r w:rsidRPr="000F70A3">
        <w:t>univariable</w:t>
      </w:r>
      <w:r w:rsidRPr="000F70A3">
        <w:rPr>
          <w:color w:val="00B0F0"/>
        </w:rPr>
        <w:t>’</w:t>
      </w:r>
      <w:r w:rsidRPr="000F70A3">
        <w:t xml:space="preserve"> ones).</w:t>
      </w:r>
    </w:p>
    <w:p w14:paraId="27E75724" w14:textId="77777777" w:rsidR="000F70A3" w:rsidRPr="000F70A3" w:rsidRDefault="000F70A3" w:rsidP="0091670A">
      <w:pPr>
        <w:pStyle w:val="602TextfoTextstylesTextstyles"/>
      </w:pPr>
      <w:r w:rsidRPr="000F70A3">
        <w:rPr>
          <w:i/>
        </w:rPr>
        <w:t>Outcome</w:t>
      </w:r>
      <w:r w:rsidRPr="000F70A3">
        <w:t xml:space="preserve">: re-consultation </w:t>
      </w:r>
      <w:r w:rsidRPr="000F70A3">
        <w:rPr>
          <w:highlight w:val="magenta"/>
        </w:rPr>
        <w:t>due to</w:t>
      </w:r>
      <w:r w:rsidRPr="000F70A3">
        <w:t xml:space="preserve"> clinical deterioration </w:t>
      </w:r>
      <w:r w:rsidRPr="000F70A3">
        <w:rPr>
          <w:b/>
        </w:rPr>
        <w:t>(N = 265; events = 61)</w:t>
      </w:r>
    </w:p>
    <w:p w14:paraId="7106B8CC" w14:textId="77777777" w:rsidR="000F70A3" w:rsidRPr="000F70A3" w:rsidRDefault="000F70A3" w:rsidP="0091670A">
      <w:pPr>
        <w:pStyle w:val="602TextfoTextstylesTextstyles"/>
      </w:pPr>
      <w:r w:rsidRPr="000F70A3">
        <w:rPr>
          <w:i/>
        </w:rPr>
        <w:t>Covariates</w:t>
      </w:r>
      <w:r w:rsidRPr="000F70A3">
        <w:t>: age, type of comorbidity (respiratory, neurological, cardiac, renal, immune deficiency), household smoking status, PCV vaccination status, early co-amoxiclav treatment (intervention), duration of illness, heart rate, respiratory rate, laboratory-confirmed influenza, receipt of current season</w:t>
      </w:r>
      <w:r w:rsidRPr="000F70A3">
        <w:rPr>
          <w:color w:val="00B0F0"/>
        </w:rPr>
        <w:t>’</w:t>
      </w:r>
      <w:r w:rsidRPr="000F70A3">
        <w:t>s influenza vaccination, receipt of previous season</w:t>
      </w:r>
      <w:r w:rsidRPr="000F70A3">
        <w:rPr>
          <w:color w:val="00B0F0"/>
        </w:rPr>
        <w:t>’</w:t>
      </w:r>
      <w:r w:rsidRPr="000F70A3">
        <w:t>s influenza vaccination.</w:t>
      </w:r>
    </w:p>
    <w:p w14:paraId="29EC5735" w14:textId="15D34047" w:rsidR="000F70A3" w:rsidRPr="000F70A3" w:rsidRDefault="00DC23FA" w:rsidP="000F70A3">
      <w:pPr>
        <w:pStyle w:val="70TablelegendTablesTableFigureBoxstyles"/>
      </w:pPr>
      <w:r w:rsidRPr="00DC23FA">
        <w:rPr>
          <w:b/>
        </w:rPr>
        <w:t>TABLE 7</w:t>
      </w:r>
      <w:r w:rsidRPr="00DC23FA">
        <w:rPr>
          <w:b/>
        </w:rPr>
        <w:t> </w:t>
      </w:r>
      <w:r w:rsidR="000F70A3" w:rsidRPr="000F70A3">
        <w:t>Risk Reduction Score Results</w:t>
      </w:r>
    </w:p>
    <w:tbl>
      <w:tblPr>
        <w:tblW w:w="0" w:type="auto"/>
        <w:tblCellMar>
          <w:top w:w="40" w:type="dxa"/>
          <w:left w:w="60" w:type="dxa"/>
          <w:bottom w:w="40" w:type="dxa"/>
          <w:right w:w="60" w:type="dxa"/>
        </w:tblCellMar>
        <w:tblLook w:val="04A0" w:firstRow="1" w:lastRow="0" w:firstColumn="1" w:lastColumn="0" w:noHBand="0" w:noVBand="1"/>
      </w:tblPr>
      <w:tblGrid>
        <w:gridCol w:w="3727"/>
        <w:gridCol w:w="450"/>
        <w:gridCol w:w="763"/>
        <w:gridCol w:w="1339"/>
        <w:gridCol w:w="1327"/>
      </w:tblGrid>
      <w:tr w:rsidR="000F70A3" w:rsidRPr="000F70A3" w14:paraId="1C5D4FDC" w14:textId="77777777" w:rsidTr="0059567E">
        <w:trPr>
          <w:cantSplit/>
        </w:trPr>
        <w:tc>
          <w:tcPr>
            <w:tcW w:w="0" w:type="auto"/>
            <w:shd w:val="clear" w:color="auto" w:fill="auto"/>
          </w:tcPr>
          <w:p w14:paraId="6ADA51B6" w14:textId="77777777" w:rsidR="000F70A3" w:rsidRPr="000F70A3" w:rsidRDefault="000F70A3" w:rsidP="00DC23FA">
            <w:pPr>
              <w:pStyle w:val="710TableheadTablesTableFigureBoxstyles"/>
            </w:pPr>
          </w:p>
        </w:tc>
        <w:tc>
          <w:tcPr>
            <w:tcW w:w="0" w:type="auto"/>
            <w:shd w:val="clear" w:color="auto" w:fill="auto"/>
            <w:vAlign w:val="center"/>
          </w:tcPr>
          <w:p w14:paraId="547D9B91" w14:textId="77777777" w:rsidR="000F70A3" w:rsidRPr="000F70A3" w:rsidRDefault="000F70A3" w:rsidP="00DC23FA">
            <w:pPr>
              <w:pStyle w:val="710TableheadTablesTableFigureBoxstyles"/>
            </w:pPr>
          </w:p>
        </w:tc>
        <w:tc>
          <w:tcPr>
            <w:tcW w:w="0" w:type="auto"/>
            <w:shd w:val="clear" w:color="auto" w:fill="auto"/>
            <w:vAlign w:val="center"/>
          </w:tcPr>
          <w:p w14:paraId="71C5EB9B" w14:textId="77777777" w:rsidR="000F70A3" w:rsidRPr="000F70A3" w:rsidRDefault="000F70A3" w:rsidP="00DC23FA">
            <w:pPr>
              <w:pStyle w:val="710TableheadTablesTableFigureBoxstyles"/>
            </w:pPr>
          </w:p>
        </w:tc>
        <w:tc>
          <w:tcPr>
            <w:tcW w:w="0" w:type="auto"/>
            <w:gridSpan w:val="2"/>
            <w:shd w:val="clear" w:color="auto" w:fill="auto"/>
            <w:vAlign w:val="center"/>
          </w:tcPr>
          <w:p w14:paraId="50EC82A8" w14:textId="77777777" w:rsidR="000F70A3" w:rsidRPr="000F70A3" w:rsidRDefault="000F70A3" w:rsidP="00DC23FA">
            <w:pPr>
              <w:pStyle w:val="705TableheadgroupTablesTableFigureBoxstyles"/>
            </w:pPr>
            <w:r w:rsidRPr="000F70A3">
              <w:t>95% Confidence Interval (OR)</w:t>
            </w:r>
          </w:p>
        </w:tc>
      </w:tr>
      <w:tr w:rsidR="000F70A3" w:rsidRPr="000F70A3" w14:paraId="45B4AD10" w14:textId="77777777" w:rsidTr="0059567E">
        <w:trPr>
          <w:cantSplit/>
        </w:trPr>
        <w:tc>
          <w:tcPr>
            <w:tcW w:w="0" w:type="auto"/>
            <w:shd w:val="clear" w:color="auto" w:fill="auto"/>
          </w:tcPr>
          <w:p w14:paraId="42CD62D2" w14:textId="77777777" w:rsidR="000F70A3" w:rsidRPr="000F70A3" w:rsidRDefault="000F70A3" w:rsidP="00DC23FA">
            <w:pPr>
              <w:pStyle w:val="710TableheadTablesTableFigureBoxstyles"/>
              <w:rPr>
                <w:color w:val="000000"/>
              </w:rPr>
            </w:pPr>
            <w:r w:rsidRPr="000F70A3">
              <w:t>Baseline covariate</w:t>
            </w:r>
          </w:p>
        </w:tc>
        <w:tc>
          <w:tcPr>
            <w:tcW w:w="0" w:type="auto"/>
            <w:shd w:val="clear" w:color="auto" w:fill="auto"/>
            <w:vAlign w:val="center"/>
          </w:tcPr>
          <w:p w14:paraId="5C54D918" w14:textId="77777777" w:rsidR="000F70A3" w:rsidRPr="000F70A3" w:rsidRDefault="000F70A3" w:rsidP="00DC23FA">
            <w:pPr>
              <w:pStyle w:val="710TableheadTablesTableFigureBoxstyles"/>
              <w:rPr>
                <w:color w:val="000000"/>
              </w:rPr>
            </w:pPr>
            <w:r w:rsidRPr="000F70A3">
              <w:t>OR</w:t>
            </w:r>
          </w:p>
        </w:tc>
        <w:tc>
          <w:tcPr>
            <w:tcW w:w="0" w:type="auto"/>
            <w:shd w:val="clear" w:color="auto" w:fill="auto"/>
            <w:vAlign w:val="center"/>
          </w:tcPr>
          <w:p w14:paraId="3E196082" w14:textId="77777777" w:rsidR="000F70A3" w:rsidRPr="000F70A3" w:rsidRDefault="000F70A3" w:rsidP="00DC23FA">
            <w:pPr>
              <w:pStyle w:val="710TableheadTablesTableFigureBoxstyles"/>
              <w:rPr>
                <w:color w:val="000000"/>
              </w:rPr>
            </w:pPr>
            <w:r w:rsidRPr="000F70A3">
              <w:rPr>
                <w:i/>
                <w:color w:val="00B0F0"/>
              </w:rPr>
              <w:t>p</w:t>
            </w:r>
            <w:r w:rsidRPr="000F70A3">
              <w:t>-value</w:t>
            </w:r>
          </w:p>
        </w:tc>
        <w:tc>
          <w:tcPr>
            <w:tcW w:w="0" w:type="auto"/>
            <w:shd w:val="clear" w:color="auto" w:fill="auto"/>
            <w:vAlign w:val="center"/>
          </w:tcPr>
          <w:p w14:paraId="6E983F8E" w14:textId="77777777" w:rsidR="000F70A3" w:rsidRPr="000F70A3" w:rsidRDefault="000F70A3" w:rsidP="00DC23FA">
            <w:pPr>
              <w:pStyle w:val="710TableheadTablesTableFigureBoxstyles"/>
              <w:rPr>
                <w:color w:val="000000"/>
              </w:rPr>
            </w:pPr>
            <w:r w:rsidRPr="000F70A3">
              <w:t>Lower Limit</w:t>
            </w:r>
          </w:p>
        </w:tc>
        <w:tc>
          <w:tcPr>
            <w:tcW w:w="0" w:type="auto"/>
            <w:shd w:val="clear" w:color="auto" w:fill="auto"/>
            <w:vAlign w:val="center"/>
          </w:tcPr>
          <w:p w14:paraId="61CB0CBE" w14:textId="77777777" w:rsidR="000F70A3" w:rsidRPr="000F70A3" w:rsidRDefault="000F70A3" w:rsidP="00DC23FA">
            <w:pPr>
              <w:pStyle w:val="710TableheadTablesTableFigureBoxstyles"/>
            </w:pPr>
            <w:r w:rsidRPr="000F70A3">
              <w:t>Upper Limit</w:t>
            </w:r>
          </w:p>
        </w:tc>
      </w:tr>
      <w:tr w:rsidR="000F70A3" w:rsidRPr="000F70A3" w14:paraId="336AA81F" w14:textId="77777777" w:rsidTr="0059567E">
        <w:trPr>
          <w:cantSplit/>
        </w:trPr>
        <w:tc>
          <w:tcPr>
            <w:tcW w:w="0" w:type="auto"/>
            <w:shd w:val="clear" w:color="auto" w:fill="auto"/>
            <w:vAlign w:val="center"/>
          </w:tcPr>
          <w:p w14:paraId="3F602910" w14:textId="77777777" w:rsidR="000F70A3" w:rsidRPr="000F70A3" w:rsidRDefault="000F70A3" w:rsidP="00DC23FA">
            <w:pPr>
              <w:pStyle w:val="72TabletextTablesTableFigureBoxstyles"/>
              <w:rPr>
                <w:rFonts w:ascii="Calibri" w:hAnsi="Calibri"/>
              </w:rPr>
            </w:pPr>
            <w:r w:rsidRPr="000F70A3">
              <w:t>Respiratory condition</w:t>
            </w:r>
          </w:p>
        </w:tc>
        <w:tc>
          <w:tcPr>
            <w:tcW w:w="0" w:type="auto"/>
            <w:shd w:val="clear" w:color="auto" w:fill="auto"/>
            <w:vAlign w:val="center"/>
          </w:tcPr>
          <w:p w14:paraId="67141404" w14:textId="77777777" w:rsidR="000F70A3" w:rsidRPr="000F70A3" w:rsidRDefault="000F70A3" w:rsidP="00DC23FA">
            <w:pPr>
              <w:pStyle w:val="72TabletextTablesTableFigureBoxstyles"/>
              <w:rPr>
                <w:rFonts w:ascii="Calibri" w:hAnsi="Calibri"/>
                <w:lang w:eastAsia="en-GB"/>
              </w:rPr>
            </w:pPr>
            <w:bookmarkStart w:id="43" w:name="RANGE!E2"/>
            <w:r w:rsidRPr="000F70A3">
              <w:rPr>
                <w:rFonts w:ascii="Calibri" w:hAnsi="Calibri"/>
              </w:rPr>
              <w:t>0.88</w:t>
            </w:r>
            <w:bookmarkEnd w:id="43"/>
          </w:p>
        </w:tc>
        <w:tc>
          <w:tcPr>
            <w:tcW w:w="0" w:type="auto"/>
            <w:shd w:val="clear" w:color="auto" w:fill="auto"/>
            <w:vAlign w:val="center"/>
          </w:tcPr>
          <w:p w14:paraId="0850C90E"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0.706</w:t>
            </w:r>
          </w:p>
        </w:tc>
        <w:tc>
          <w:tcPr>
            <w:tcW w:w="0" w:type="auto"/>
            <w:shd w:val="clear" w:color="auto" w:fill="auto"/>
            <w:vAlign w:val="center"/>
          </w:tcPr>
          <w:p w14:paraId="1E3DCB45"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0.46</w:t>
            </w:r>
          </w:p>
        </w:tc>
        <w:tc>
          <w:tcPr>
            <w:tcW w:w="0" w:type="auto"/>
            <w:shd w:val="clear" w:color="auto" w:fill="auto"/>
            <w:vAlign w:val="center"/>
          </w:tcPr>
          <w:p w14:paraId="43ABDDD9"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1.69</w:t>
            </w:r>
          </w:p>
        </w:tc>
      </w:tr>
      <w:tr w:rsidR="000F70A3" w:rsidRPr="000F70A3" w14:paraId="44DE8841" w14:textId="77777777" w:rsidTr="0059567E">
        <w:trPr>
          <w:cantSplit/>
        </w:trPr>
        <w:tc>
          <w:tcPr>
            <w:tcW w:w="0" w:type="auto"/>
            <w:shd w:val="clear" w:color="auto" w:fill="auto"/>
            <w:vAlign w:val="center"/>
          </w:tcPr>
          <w:p w14:paraId="1DC08262" w14:textId="77777777" w:rsidR="000F70A3" w:rsidRPr="000F70A3" w:rsidRDefault="000F70A3" w:rsidP="00DC23FA">
            <w:pPr>
              <w:pStyle w:val="72TabletextTablesTableFigureBoxstyles"/>
              <w:rPr>
                <w:rFonts w:ascii="Calibri" w:hAnsi="Calibri"/>
              </w:rPr>
            </w:pPr>
            <w:r w:rsidRPr="000F70A3">
              <w:t>Neurological condition</w:t>
            </w:r>
          </w:p>
        </w:tc>
        <w:tc>
          <w:tcPr>
            <w:tcW w:w="0" w:type="auto"/>
            <w:shd w:val="clear" w:color="auto" w:fill="auto"/>
            <w:vAlign w:val="center"/>
          </w:tcPr>
          <w:p w14:paraId="7D56AA43"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1.40</w:t>
            </w:r>
          </w:p>
        </w:tc>
        <w:tc>
          <w:tcPr>
            <w:tcW w:w="0" w:type="auto"/>
            <w:shd w:val="clear" w:color="auto" w:fill="auto"/>
            <w:vAlign w:val="center"/>
          </w:tcPr>
          <w:p w14:paraId="00CEC32E"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0.579</w:t>
            </w:r>
          </w:p>
        </w:tc>
        <w:tc>
          <w:tcPr>
            <w:tcW w:w="0" w:type="auto"/>
            <w:shd w:val="clear" w:color="auto" w:fill="auto"/>
            <w:vAlign w:val="center"/>
          </w:tcPr>
          <w:p w14:paraId="1722727D"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0.42</w:t>
            </w:r>
          </w:p>
        </w:tc>
        <w:tc>
          <w:tcPr>
            <w:tcW w:w="0" w:type="auto"/>
            <w:shd w:val="clear" w:color="auto" w:fill="auto"/>
            <w:vAlign w:val="center"/>
          </w:tcPr>
          <w:p w14:paraId="1F8ED06C"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4.67</w:t>
            </w:r>
          </w:p>
        </w:tc>
      </w:tr>
      <w:tr w:rsidR="000F70A3" w:rsidRPr="000F70A3" w14:paraId="79CB8B20" w14:textId="77777777" w:rsidTr="0059567E">
        <w:trPr>
          <w:cantSplit/>
        </w:trPr>
        <w:tc>
          <w:tcPr>
            <w:tcW w:w="0" w:type="auto"/>
            <w:shd w:val="clear" w:color="auto" w:fill="auto"/>
            <w:vAlign w:val="center"/>
          </w:tcPr>
          <w:p w14:paraId="281DEC9C" w14:textId="77777777" w:rsidR="000F70A3" w:rsidRPr="000F70A3" w:rsidRDefault="000F70A3" w:rsidP="00DC23FA">
            <w:pPr>
              <w:pStyle w:val="72TabletextTablesTableFigureBoxstyles"/>
              <w:rPr>
                <w:rFonts w:ascii="Calibri" w:hAnsi="Calibri"/>
              </w:rPr>
            </w:pPr>
            <w:r w:rsidRPr="000F70A3">
              <w:t>Cardiac condition</w:t>
            </w:r>
          </w:p>
        </w:tc>
        <w:tc>
          <w:tcPr>
            <w:tcW w:w="0" w:type="auto"/>
            <w:shd w:val="clear" w:color="auto" w:fill="auto"/>
            <w:vAlign w:val="center"/>
          </w:tcPr>
          <w:p w14:paraId="1F0AE74E"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2.27</w:t>
            </w:r>
          </w:p>
        </w:tc>
        <w:tc>
          <w:tcPr>
            <w:tcW w:w="0" w:type="auto"/>
            <w:shd w:val="clear" w:color="auto" w:fill="auto"/>
            <w:vAlign w:val="center"/>
          </w:tcPr>
          <w:p w14:paraId="00584B85"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0.138</w:t>
            </w:r>
          </w:p>
        </w:tc>
        <w:tc>
          <w:tcPr>
            <w:tcW w:w="0" w:type="auto"/>
            <w:shd w:val="clear" w:color="auto" w:fill="auto"/>
            <w:vAlign w:val="center"/>
          </w:tcPr>
          <w:p w14:paraId="5655D8EC"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0.77</w:t>
            </w:r>
          </w:p>
        </w:tc>
        <w:tc>
          <w:tcPr>
            <w:tcW w:w="0" w:type="auto"/>
            <w:shd w:val="clear" w:color="auto" w:fill="auto"/>
            <w:vAlign w:val="center"/>
          </w:tcPr>
          <w:p w14:paraId="366FCB00"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6.69</w:t>
            </w:r>
          </w:p>
        </w:tc>
      </w:tr>
      <w:tr w:rsidR="000F70A3" w:rsidRPr="000F70A3" w14:paraId="43650037" w14:textId="77777777" w:rsidTr="0059567E">
        <w:trPr>
          <w:cantSplit/>
        </w:trPr>
        <w:tc>
          <w:tcPr>
            <w:tcW w:w="0" w:type="auto"/>
            <w:shd w:val="clear" w:color="auto" w:fill="auto"/>
            <w:vAlign w:val="center"/>
          </w:tcPr>
          <w:p w14:paraId="10A53972" w14:textId="77777777" w:rsidR="000F70A3" w:rsidRPr="000F70A3" w:rsidRDefault="000F70A3" w:rsidP="00DC23FA">
            <w:pPr>
              <w:pStyle w:val="72TabletextTablesTableFigureBoxstyles"/>
              <w:rPr>
                <w:rFonts w:ascii="Calibri" w:hAnsi="Calibri"/>
              </w:rPr>
            </w:pPr>
            <w:r w:rsidRPr="000F70A3">
              <w:t>Renal condition</w:t>
            </w:r>
          </w:p>
        </w:tc>
        <w:tc>
          <w:tcPr>
            <w:tcW w:w="0" w:type="auto"/>
            <w:shd w:val="clear" w:color="auto" w:fill="auto"/>
            <w:vAlign w:val="center"/>
          </w:tcPr>
          <w:p w14:paraId="2D9996C4"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7.05</w:t>
            </w:r>
          </w:p>
        </w:tc>
        <w:tc>
          <w:tcPr>
            <w:tcW w:w="0" w:type="auto"/>
            <w:shd w:val="clear" w:color="auto" w:fill="auto"/>
            <w:vAlign w:val="center"/>
          </w:tcPr>
          <w:p w14:paraId="7839BA90"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0.114</w:t>
            </w:r>
          </w:p>
        </w:tc>
        <w:tc>
          <w:tcPr>
            <w:tcW w:w="0" w:type="auto"/>
            <w:shd w:val="clear" w:color="auto" w:fill="auto"/>
            <w:vAlign w:val="center"/>
          </w:tcPr>
          <w:p w14:paraId="59B70C97"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0.63</w:t>
            </w:r>
          </w:p>
        </w:tc>
        <w:tc>
          <w:tcPr>
            <w:tcW w:w="0" w:type="auto"/>
            <w:shd w:val="clear" w:color="auto" w:fill="auto"/>
            <w:vAlign w:val="center"/>
          </w:tcPr>
          <w:p w14:paraId="5E6AD472"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79.44</w:t>
            </w:r>
          </w:p>
        </w:tc>
      </w:tr>
      <w:tr w:rsidR="000F70A3" w:rsidRPr="000F70A3" w14:paraId="201E7451" w14:textId="77777777" w:rsidTr="0059567E">
        <w:trPr>
          <w:cantSplit/>
        </w:trPr>
        <w:tc>
          <w:tcPr>
            <w:tcW w:w="0" w:type="auto"/>
            <w:shd w:val="clear" w:color="auto" w:fill="auto"/>
            <w:vAlign w:val="center"/>
          </w:tcPr>
          <w:p w14:paraId="14C61FEA" w14:textId="77777777" w:rsidR="000F70A3" w:rsidRPr="000F70A3" w:rsidRDefault="000F70A3" w:rsidP="00DC23FA">
            <w:pPr>
              <w:pStyle w:val="72TabletextTablesTableFigureBoxstyles"/>
              <w:rPr>
                <w:rFonts w:ascii="Calibri" w:hAnsi="Calibri"/>
              </w:rPr>
            </w:pPr>
            <w:r w:rsidRPr="000F70A3">
              <w:t>One or more smokers in household</w:t>
            </w:r>
          </w:p>
        </w:tc>
        <w:tc>
          <w:tcPr>
            <w:tcW w:w="0" w:type="auto"/>
            <w:shd w:val="clear" w:color="auto" w:fill="auto"/>
            <w:vAlign w:val="center"/>
          </w:tcPr>
          <w:p w14:paraId="0FC316FF"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0.44</w:t>
            </w:r>
          </w:p>
        </w:tc>
        <w:tc>
          <w:tcPr>
            <w:tcW w:w="0" w:type="auto"/>
            <w:shd w:val="clear" w:color="auto" w:fill="auto"/>
            <w:vAlign w:val="center"/>
          </w:tcPr>
          <w:p w14:paraId="4A55F6F3"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0.082</w:t>
            </w:r>
          </w:p>
        </w:tc>
        <w:tc>
          <w:tcPr>
            <w:tcW w:w="0" w:type="auto"/>
            <w:shd w:val="clear" w:color="auto" w:fill="auto"/>
            <w:vAlign w:val="center"/>
          </w:tcPr>
          <w:p w14:paraId="5EEF9899"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0.18</w:t>
            </w:r>
          </w:p>
        </w:tc>
        <w:tc>
          <w:tcPr>
            <w:tcW w:w="0" w:type="auto"/>
            <w:shd w:val="clear" w:color="auto" w:fill="auto"/>
            <w:vAlign w:val="center"/>
          </w:tcPr>
          <w:p w14:paraId="28BE1AFF"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1.11</w:t>
            </w:r>
          </w:p>
        </w:tc>
      </w:tr>
      <w:tr w:rsidR="000F70A3" w:rsidRPr="000F70A3" w14:paraId="3BE108F8" w14:textId="77777777" w:rsidTr="0059567E">
        <w:trPr>
          <w:cantSplit/>
        </w:trPr>
        <w:tc>
          <w:tcPr>
            <w:tcW w:w="0" w:type="auto"/>
            <w:shd w:val="clear" w:color="auto" w:fill="auto"/>
            <w:vAlign w:val="center"/>
          </w:tcPr>
          <w:p w14:paraId="4B610C6F" w14:textId="77777777" w:rsidR="000F70A3" w:rsidRPr="000F70A3" w:rsidRDefault="000F70A3" w:rsidP="00DC23FA">
            <w:pPr>
              <w:pStyle w:val="72TabletextTablesTableFigureBoxstyles"/>
              <w:rPr>
                <w:rFonts w:ascii="Calibri" w:hAnsi="Calibri"/>
              </w:rPr>
            </w:pPr>
            <w:r w:rsidRPr="000F70A3">
              <w:t>Received current season</w:t>
            </w:r>
            <w:r w:rsidRPr="000F70A3">
              <w:rPr>
                <w:color w:val="00B0F0"/>
              </w:rPr>
              <w:t>’</w:t>
            </w:r>
            <w:r w:rsidRPr="000F70A3">
              <w:t>s influenza vaccination</w:t>
            </w:r>
          </w:p>
        </w:tc>
        <w:tc>
          <w:tcPr>
            <w:tcW w:w="0" w:type="auto"/>
            <w:shd w:val="clear" w:color="auto" w:fill="auto"/>
            <w:vAlign w:val="center"/>
          </w:tcPr>
          <w:p w14:paraId="6526E353"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0.84</w:t>
            </w:r>
          </w:p>
        </w:tc>
        <w:tc>
          <w:tcPr>
            <w:tcW w:w="0" w:type="auto"/>
            <w:shd w:val="clear" w:color="auto" w:fill="auto"/>
            <w:vAlign w:val="center"/>
          </w:tcPr>
          <w:p w14:paraId="1FEBE1AA"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0.601</w:t>
            </w:r>
          </w:p>
        </w:tc>
        <w:tc>
          <w:tcPr>
            <w:tcW w:w="0" w:type="auto"/>
            <w:shd w:val="clear" w:color="auto" w:fill="auto"/>
            <w:vAlign w:val="center"/>
          </w:tcPr>
          <w:p w14:paraId="373CE98F"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0.45</w:t>
            </w:r>
          </w:p>
        </w:tc>
        <w:tc>
          <w:tcPr>
            <w:tcW w:w="0" w:type="auto"/>
            <w:shd w:val="clear" w:color="auto" w:fill="auto"/>
            <w:vAlign w:val="center"/>
          </w:tcPr>
          <w:p w14:paraId="36D8F2A2"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1.60</w:t>
            </w:r>
          </w:p>
        </w:tc>
      </w:tr>
      <w:tr w:rsidR="000F70A3" w:rsidRPr="000F70A3" w14:paraId="68949FFA" w14:textId="77777777" w:rsidTr="0059567E">
        <w:trPr>
          <w:cantSplit/>
        </w:trPr>
        <w:tc>
          <w:tcPr>
            <w:tcW w:w="0" w:type="auto"/>
            <w:shd w:val="clear" w:color="auto" w:fill="auto"/>
            <w:vAlign w:val="center"/>
          </w:tcPr>
          <w:p w14:paraId="4321DCF2" w14:textId="77777777" w:rsidR="000F70A3" w:rsidRPr="000F70A3" w:rsidRDefault="000F70A3" w:rsidP="00DC23FA">
            <w:pPr>
              <w:pStyle w:val="72TabletextTablesTableFigureBoxstyles"/>
              <w:rPr>
                <w:rFonts w:ascii="Calibri" w:hAnsi="Calibri"/>
              </w:rPr>
            </w:pPr>
            <w:r w:rsidRPr="000F70A3">
              <w:t>Received previous season</w:t>
            </w:r>
            <w:r w:rsidRPr="000F70A3">
              <w:rPr>
                <w:color w:val="00B0F0"/>
              </w:rPr>
              <w:t>’</w:t>
            </w:r>
            <w:r w:rsidRPr="000F70A3">
              <w:t>s influenza vaccination</w:t>
            </w:r>
          </w:p>
        </w:tc>
        <w:tc>
          <w:tcPr>
            <w:tcW w:w="0" w:type="auto"/>
            <w:shd w:val="clear" w:color="auto" w:fill="auto"/>
            <w:vAlign w:val="center"/>
          </w:tcPr>
          <w:p w14:paraId="05261B5D"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1.30</w:t>
            </w:r>
          </w:p>
        </w:tc>
        <w:tc>
          <w:tcPr>
            <w:tcW w:w="0" w:type="auto"/>
            <w:shd w:val="clear" w:color="auto" w:fill="auto"/>
            <w:vAlign w:val="center"/>
          </w:tcPr>
          <w:p w14:paraId="21F48465"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0.435</w:t>
            </w:r>
          </w:p>
        </w:tc>
        <w:tc>
          <w:tcPr>
            <w:tcW w:w="0" w:type="auto"/>
            <w:shd w:val="clear" w:color="auto" w:fill="auto"/>
            <w:vAlign w:val="center"/>
          </w:tcPr>
          <w:p w14:paraId="3C87E6B7"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0.67</w:t>
            </w:r>
          </w:p>
        </w:tc>
        <w:tc>
          <w:tcPr>
            <w:tcW w:w="0" w:type="auto"/>
            <w:shd w:val="clear" w:color="auto" w:fill="auto"/>
            <w:vAlign w:val="center"/>
          </w:tcPr>
          <w:p w14:paraId="44AAD405"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2.55</w:t>
            </w:r>
          </w:p>
        </w:tc>
      </w:tr>
      <w:tr w:rsidR="000F70A3" w:rsidRPr="000F70A3" w14:paraId="40809C55" w14:textId="77777777" w:rsidTr="0059567E">
        <w:trPr>
          <w:cantSplit/>
        </w:trPr>
        <w:tc>
          <w:tcPr>
            <w:tcW w:w="0" w:type="auto"/>
            <w:shd w:val="clear" w:color="auto" w:fill="auto"/>
            <w:vAlign w:val="center"/>
          </w:tcPr>
          <w:p w14:paraId="28CA23B2" w14:textId="77777777" w:rsidR="000F70A3" w:rsidRPr="000F70A3" w:rsidRDefault="000F70A3" w:rsidP="00DC23FA">
            <w:pPr>
              <w:pStyle w:val="72TabletextTablesTableFigureBoxstyles"/>
              <w:rPr>
                <w:rFonts w:ascii="Calibri" w:hAnsi="Calibri"/>
              </w:rPr>
            </w:pPr>
            <w:r w:rsidRPr="000F70A3">
              <w:t>Received PCV vaccine</w:t>
            </w:r>
          </w:p>
        </w:tc>
        <w:tc>
          <w:tcPr>
            <w:tcW w:w="0" w:type="auto"/>
            <w:shd w:val="clear" w:color="auto" w:fill="auto"/>
            <w:vAlign w:val="center"/>
          </w:tcPr>
          <w:p w14:paraId="6DC83063"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1.30</w:t>
            </w:r>
          </w:p>
        </w:tc>
        <w:tc>
          <w:tcPr>
            <w:tcW w:w="0" w:type="auto"/>
            <w:shd w:val="clear" w:color="auto" w:fill="auto"/>
            <w:vAlign w:val="center"/>
          </w:tcPr>
          <w:p w14:paraId="33F5462B"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0.690</w:t>
            </w:r>
          </w:p>
        </w:tc>
        <w:tc>
          <w:tcPr>
            <w:tcW w:w="0" w:type="auto"/>
            <w:shd w:val="clear" w:color="auto" w:fill="auto"/>
            <w:vAlign w:val="center"/>
          </w:tcPr>
          <w:p w14:paraId="6391B15E"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0.36</w:t>
            </w:r>
          </w:p>
        </w:tc>
        <w:tc>
          <w:tcPr>
            <w:tcW w:w="0" w:type="auto"/>
            <w:shd w:val="clear" w:color="auto" w:fill="auto"/>
            <w:vAlign w:val="center"/>
          </w:tcPr>
          <w:p w14:paraId="674E4381"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4.75</w:t>
            </w:r>
          </w:p>
        </w:tc>
      </w:tr>
      <w:tr w:rsidR="000F70A3" w:rsidRPr="000F70A3" w14:paraId="7E010577" w14:textId="77777777" w:rsidTr="0059567E">
        <w:trPr>
          <w:cantSplit/>
        </w:trPr>
        <w:tc>
          <w:tcPr>
            <w:tcW w:w="0" w:type="auto"/>
            <w:shd w:val="clear" w:color="auto" w:fill="auto"/>
            <w:vAlign w:val="center"/>
          </w:tcPr>
          <w:p w14:paraId="20FA3502" w14:textId="77777777" w:rsidR="000F70A3" w:rsidRPr="000F70A3" w:rsidRDefault="000F70A3" w:rsidP="00DC23FA">
            <w:pPr>
              <w:pStyle w:val="72TabletextTablesTableFigureBoxstyles"/>
              <w:rPr>
                <w:rFonts w:ascii="Calibri" w:hAnsi="Calibri"/>
              </w:rPr>
            </w:pPr>
            <w:r w:rsidRPr="000F70A3">
              <w:t>Duration of illness</w:t>
            </w:r>
          </w:p>
        </w:tc>
        <w:tc>
          <w:tcPr>
            <w:tcW w:w="0" w:type="auto"/>
            <w:shd w:val="clear" w:color="auto" w:fill="auto"/>
            <w:vAlign w:val="center"/>
          </w:tcPr>
          <w:p w14:paraId="39D0562F"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0.91</w:t>
            </w:r>
          </w:p>
        </w:tc>
        <w:tc>
          <w:tcPr>
            <w:tcW w:w="0" w:type="auto"/>
            <w:shd w:val="clear" w:color="auto" w:fill="auto"/>
            <w:vAlign w:val="center"/>
          </w:tcPr>
          <w:p w14:paraId="0887155B"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0.478</w:t>
            </w:r>
          </w:p>
        </w:tc>
        <w:tc>
          <w:tcPr>
            <w:tcW w:w="0" w:type="auto"/>
            <w:shd w:val="clear" w:color="auto" w:fill="auto"/>
            <w:vAlign w:val="center"/>
          </w:tcPr>
          <w:p w14:paraId="414AF416"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0.71</w:t>
            </w:r>
          </w:p>
        </w:tc>
        <w:tc>
          <w:tcPr>
            <w:tcW w:w="0" w:type="auto"/>
            <w:shd w:val="clear" w:color="auto" w:fill="auto"/>
            <w:vAlign w:val="center"/>
          </w:tcPr>
          <w:p w14:paraId="7382DA63"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1.17</w:t>
            </w:r>
          </w:p>
        </w:tc>
      </w:tr>
      <w:tr w:rsidR="000F70A3" w:rsidRPr="000F70A3" w14:paraId="2F8FACF1" w14:textId="77777777" w:rsidTr="0059567E">
        <w:trPr>
          <w:cantSplit/>
        </w:trPr>
        <w:tc>
          <w:tcPr>
            <w:tcW w:w="0" w:type="auto"/>
            <w:shd w:val="clear" w:color="auto" w:fill="auto"/>
            <w:vAlign w:val="center"/>
          </w:tcPr>
          <w:p w14:paraId="083BB007" w14:textId="77777777" w:rsidR="000F70A3" w:rsidRPr="000F70A3" w:rsidRDefault="000F70A3" w:rsidP="00DC23FA">
            <w:pPr>
              <w:pStyle w:val="72TabletextTablesTableFigureBoxstyles"/>
              <w:rPr>
                <w:rFonts w:ascii="Calibri" w:hAnsi="Calibri"/>
              </w:rPr>
            </w:pPr>
            <w:r w:rsidRPr="000F70A3">
              <w:t>Heart rate</w:t>
            </w:r>
          </w:p>
        </w:tc>
        <w:tc>
          <w:tcPr>
            <w:tcW w:w="0" w:type="auto"/>
            <w:shd w:val="clear" w:color="auto" w:fill="auto"/>
            <w:vAlign w:val="center"/>
          </w:tcPr>
          <w:p w14:paraId="74DCB184"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1.00</w:t>
            </w:r>
          </w:p>
        </w:tc>
        <w:tc>
          <w:tcPr>
            <w:tcW w:w="0" w:type="auto"/>
            <w:shd w:val="clear" w:color="auto" w:fill="auto"/>
            <w:vAlign w:val="center"/>
          </w:tcPr>
          <w:p w14:paraId="5192FEE7"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0.773</w:t>
            </w:r>
          </w:p>
        </w:tc>
        <w:tc>
          <w:tcPr>
            <w:tcW w:w="0" w:type="auto"/>
            <w:shd w:val="clear" w:color="auto" w:fill="auto"/>
            <w:vAlign w:val="center"/>
          </w:tcPr>
          <w:p w14:paraId="0F49B7C4"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0.98</w:t>
            </w:r>
          </w:p>
        </w:tc>
        <w:tc>
          <w:tcPr>
            <w:tcW w:w="0" w:type="auto"/>
            <w:shd w:val="clear" w:color="auto" w:fill="auto"/>
            <w:vAlign w:val="center"/>
          </w:tcPr>
          <w:p w14:paraId="1A1B977F"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1.01</w:t>
            </w:r>
          </w:p>
        </w:tc>
      </w:tr>
      <w:tr w:rsidR="000F70A3" w:rsidRPr="000F70A3" w14:paraId="797DCF62" w14:textId="77777777" w:rsidTr="0059567E">
        <w:trPr>
          <w:cantSplit/>
        </w:trPr>
        <w:tc>
          <w:tcPr>
            <w:tcW w:w="0" w:type="auto"/>
            <w:shd w:val="clear" w:color="auto" w:fill="auto"/>
            <w:vAlign w:val="center"/>
          </w:tcPr>
          <w:p w14:paraId="35EA702B" w14:textId="77777777" w:rsidR="000F70A3" w:rsidRPr="000F70A3" w:rsidRDefault="000F70A3" w:rsidP="00DC23FA">
            <w:pPr>
              <w:pStyle w:val="72TabletextTablesTableFigureBoxstyles"/>
              <w:rPr>
                <w:rFonts w:ascii="Calibri" w:hAnsi="Calibri"/>
              </w:rPr>
            </w:pPr>
            <w:r w:rsidRPr="000F70A3">
              <w:t>Respiratory rate</w:t>
            </w:r>
          </w:p>
        </w:tc>
        <w:tc>
          <w:tcPr>
            <w:tcW w:w="0" w:type="auto"/>
            <w:shd w:val="clear" w:color="auto" w:fill="auto"/>
            <w:vAlign w:val="center"/>
          </w:tcPr>
          <w:p w14:paraId="7DDDFA8F"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1.05</w:t>
            </w:r>
          </w:p>
        </w:tc>
        <w:tc>
          <w:tcPr>
            <w:tcW w:w="0" w:type="auto"/>
            <w:shd w:val="clear" w:color="auto" w:fill="auto"/>
            <w:vAlign w:val="center"/>
          </w:tcPr>
          <w:p w14:paraId="47E23117"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0.012</w:t>
            </w:r>
          </w:p>
        </w:tc>
        <w:tc>
          <w:tcPr>
            <w:tcW w:w="0" w:type="auto"/>
            <w:shd w:val="clear" w:color="auto" w:fill="auto"/>
            <w:vAlign w:val="center"/>
          </w:tcPr>
          <w:p w14:paraId="4B8223FC"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1.01</w:t>
            </w:r>
          </w:p>
        </w:tc>
        <w:tc>
          <w:tcPr>
            <w:tcW w:w="0" w:type="auto"/>
            <w:shd w:val="clear" w:color="auto" w:fill="auto"/>
            <w:vAlign w:val="center"/>
          </w:tcPr>
          <w:p w14:paraId="5AAB5236"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1.08</w:t>
            </w:r>
          </w:p>
        </w:tc>
      </w:tr>
      <w:tr w:rsidR="000F70A3" w:rsidRPr="000F70A3" w14:paraId="34C20FC2" w14:textId="77777777" w:rsidTr="0059567E">
        <w:trPr>
          <w:cantSplit/>
        </w:trPr>
        <w:tc>
          <w:tcPr>
            <w:tcW w:w="0" w:type="auto"/>
            <w:shd w:val="clear" w:color="auto" w:fill="auto"/>
            <w:vAlign w:val="center"/>
          </w:tcPr>
          <w:p w14:paraId="6A89E6C6" w14:textId="77777777" w:rsidR="000F70A3" w:rsidRPr="000F70A3" w:rsidRDefault="000F70A3" w:rsidP="00DC23FA">
            <w:pPr>
              <w:pStyle w:val="72TabletextTablesTableFigureBoxstyles"/>
              <w:rPr>
                <w:rFonts w:ascii="Calibri" w:hAnsi="Calibri"/>
              </w:rPr>
            </w:pPr>
            <w:r w:rsidRPr="000F70A3">
              <w:t>Laboratory-confirmed influenza</w:t>
            </w:r>
          </w:p>
        </w:tc>
        <w:tc>
          <w:tcPr>
            <w:tcW w:w="0" w:type="auto"/>
            <w:shd w:val="clear" w:color="auto" w:fill="auto"/>
            <w:vAlign w:val="center"/>
          </w:tcPr>
          <w:p w14:paraId="476723A7"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1.62</w:t>
            </w:r>
          </w:p>
        </w:tc>
        <w:tc>
          <w:tcPr>
            <w:tcW w:w="0" w:type="auto"/>
            <w:shd w:val="clear" w:color="auto" w:fill="auto"/>
            <w:vAlign w:val="center"/>
          </w:tcPr>
          <w:p w14:paraId="5ACFA2D2"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0.228</w:t>
            </w:r>
          </w:p>
        </w:tc>
        <w:tc>
          <w:tcPr>
            <w:tcW w:w="0" w:type="auto"/>
            <w:shd w:val="clear" w:color="auto" w:fill="auto"/>
            <w:vAlign w:val="center"/>
          </w:tcPr>
          <w:p w14:paraId="6AA6345E"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0.74</w:t>
            </w:r>
          </w:p>
        </w:tc>
        <w:tc>
          <w:tcPr>
            <w:tcW w:w="0" w:type="auto"/>
            <w:shd w:val="clear" w:color="auto" w:fill="auto"/>
            <w:vAlign w:val="center"/>
          </w:tcPr>
          <w:p w14:paraId="0533F170"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3.56</w:t>
            </w:r>
          </w:p>
        </w:tc>
      </w:tr>
      <w:tr w:rsidR="000F70A3" w:rsidRPr="000F70A3" w14:paraId="042C1AF1" w14:textId="77777777" w:rsidTr="0059567E">
        <w:trPr>
          <w:cantSplit/>
        </w:trPr>
        <w:tc>
          <w:tcPr>
            <w:tcW w:w="0" w:type="auto"/>
            <w:shd w:val="clear" w:color="auto" w:fill="auto"/>
            <w:vAlign w:val="center"/>
          </w:tcPr>
          <w:p w14:paraId="13E3568D" w14:textId="77777777" w:rsidR="000F70A3" w:rsidRPr="000F70A3" w:rsidRDefault="000F70A3" w:rsidP="00DC23FA">
            <w:pPr>
              <w:pStyle w:val="72TabletextTablesTableFigureBoxstyles"/>
              <w:rPr>
                <w:rFonts w:ascii="Calibri" w:hAnsi="Calibri"/>
              </w:rPr>
            </w:pPr>
            <w:r w:rsidRPr="000F70A3">
              <w:t xml:space="preserve">Recruited from hospital ambulatory care setting </w:t>
            </w:r>
          </w:p>
        </w:tc>
        <w:tc>
          <w:tcPr>
            <w:tcW w:w="0" w:type="auto"/>
            <w:shd w:val="clear" w:color="auto" w:fill="auto"/>
            <w:vAlign w:val="center"/>
          </w:tcPr>
          <w:p w14:paraId="137C273B"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1.01</w:t>
            </w:r>
          </w:p>
        </w:tc>
        <w:tc>
          <w:tcPr>
            <w:tcW w:w="0" w:type="auto"/>
            <w:shd w:val="clear" w:color="auto" w:fill="auto"/>
            <w:vAlign w:val="center"/>
          </w:tcPr>
          <w:p w14:paraId="1CF9CB44"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0.966</w:t>
            </w:r>
          </w:p>
        </w:tc>
        <w:tc>
          <w:tcPr>
            <w:tcW w:w="0" w:type="auto"/>
            <w:shd w:val="clear" w:color="auto" w:fill="auto"/>
            <w:vAlign w:val="center"/>
          </w:tcPr>
          <w:p w14:paraId="35F7B876"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0.54</w:t>
            </w:r>
          </w:p>
        </w:tc>
        <w:tc>
          <w:tcPr>
            <w:tcW w:w="0" w:type="auto"/>
            <w:shd w:val="clear" w:color="auto" w:fill="auto"/>
            <w:vAlign w:val="center"/>
          </w:tcPr>
          <w:p w14:paraId="7B6C48A7" w14:textId="77777777" w:rsidR="000F70A3" w:rsidRPr="000F70A3" w:rsidRDefault="000F70A3" w:rsidP="00DC23FA">
            <w:pPr>
              <w:pStyle w:val="72TabletextTablesTableFigureBoxstyles"/>
              <w:rPr>
                <w:rFonts w:ascii="Calibri" w:hAnsi="Calibri"/>
                <w:lang w:eastAsia="en-GB"/>
              </w:rPr>
            </w:pPr>
            <w:r w:rsidRPr="000F70A3">
              <w:rPr>
                <w:rFonts w:ascii="Calibri" w:hAnsi="Calibri"/>
              </w:rPr>
              <w:t>1.92</w:t>
            </w:r>
          </w:p>
        </w:tc>
      </w:tr>
      <w:tr w:rsidR="00DC23FA" w:rsidRPr="000F70A3" w14:paraId="4BCA185C" w14:textId="77777777" w:rsidTr="0062602F">
        <w:trPr>
          <w:cantSplit/>
        </w:trPr>
        <w:tc>
          <w:tcPr>
            <w:tcW w:w="0" w:type="auto"/>
            <w:gridSpan w:val="5"/>
            <w:shd w:val="clear" w:color="auto" w:fill="auto"/>
            <w:vAlign w:val="center"/>
          </w:tcPr>
          <w:p w14:paraId="1D366B96" w14:textId="1AD4E850" w:rsidR="00DC23FA" w:rsidRPr="00DC23FA" w:rsidRDefault="00DC23FA" w:rsidP="00DC23FA">
            <w:pPr>
              <w:pStyle w:val="75TablenotesTablesTableFigureBoxstyles"/>
              <w:rPr>
                <w:rFonts w:ascii="Times New Roman" w:hAnsi="Times New Roman"/>
              </w:rPr>
            </w:pPr>
            <w:r w:rsidRPr="000F70A3">
              <w:t xml:space="preserve">OR = </w:t>
            </w:r>
            <w:r w:rsidRPr="000F70A3">
              <w:rPr>
                <w:color w:val="00B0F0"/>
              </w:rPr>
              <w:t>‘</w:t>
            </w:r>
            <w:r w:rsidRPr="000F70A3">
              <w:t>univariable</w:t>
            </w:r>
            <w:r w:rsidRPr="000F70A3">
              <w:rPr>
                <w:color w:val="00B0F0"/>
              </w:rPr>
              <w:t>’</w:t>
            </w:r>
            <w:r w:rsidRPr="000F70A3">
              <w:t xml:space="preserve"> Odds Ratio (only adjusted for age)PCV = Pneumococcal Conjug</w:t>
            </w:r>
            <w:r>
              <w:t>ate Vaccine</w:t>
            </w:r>
          </w:p>
        </w:tc>
      </w:tr>
    </w:tbl>
    <w:p w14:paraId="067071EA" w14:textId="77777777" w:rsidR="000F70A3" w:rsidRPr="000F70A3" w:rsidRDefault="000F70A3" w:rsidP="00DC23FA">
      <w:pPr>
        <w:pStyle w:val="602TextfoTextstylesTextstyles"/>
      </w:pPr>
      <w:r w:rsidRPr="000F70A3">
        <w:t>Based on this univariable analysis none of the types of comorbidities seem to be associated with re-consultation. The only two variables that appear to show a link are household smoking status (</w:t>
      </w:r>
      <w:r w:rsidRPr="000F70A3">
        <w:rPr>
          <w:i/>
          <w:color w:val="00B0F0"/>
        </w:rPr>
        <w:t>p</w:t>
      </w:r>
      <w:r w:rsidRPr="000F70A3">
        <w:t>-val = 0.082) and respiratory rate (</w:t>
      </w:r>
      <w:r w:rsidRPr="000F70A3">
        <w:rPr>
          <w:i/>
          <w:color w:val="00B0F0"/>
        </w:rPr>
        <w:t>p</w:t>
      </w:r>
      <w:r w:rsidRPr="000F70A3">
        <w:t>-val = 0.01). The only multivariable model t constructed was based on these two variables.</w:t>
      </w:r>
    </w:p>
    <w:p w14:paraId="22CED3E2" w14:textId="77777777" w:rsidR="000F70A3" w:rsidRPr="000F70A3" w:rsidRDefault="000F70A3" w:rsidP="00DC23FA">
      <w:pPr>
        <w:pStyle w:val="602TextfoTextstylesTextstyles"/>
      </w:pPr>
      <w:r w:rsidRPr="000F70A3">
        <w:t>Multivariable model (logistic): re-consultation ~ age</w:t>
      </w:r>
      <w:r w:rsidRPr="000F70A3">
        <w:rPr>
          <w:color w:val="00B0F0"/>
        </w:rPr>
        <w:t>+</w:t>
      </w:r>
      <w:r w:rsidRPr="000F70A3">
        <w:t>smoking</w:t>
      </w:r>
      <w:r w:rsidRPr="000F70A3">
        <w:rPr>
          <w:color w:val="00B0F0"/>
        </w:rPr>
        <w:t>+</w:t>
      </w:r>
      <w:r w:rsidRPr="000F70A3">
        <w:t>respiratory rate</w:t>
      </w:r>
    </w:p>
    <w:p w14:paraId="73A34F94" w14:textId="378AED50" w:rsidR="000F70A3" w:rsidRPr="000F70A3" w:rsidRDefault="00DC23FA" w:rsidP="000F70A3">
      <w:pPr>
        <w:pStyle w:val="70TablelegendTablesTableFigureBoxstyles"/>
      </w:pPr>
      <w:r w:rsidRPr="00DC23FA">
        <w:rPr>
          <w:b/>
        </w:rPr>
        <w:t>TABLE 8</w:t>
      </w:r>
      <w:r w:rsidRPr="00DC23FA">
        <w:rPr>
          <w:b/>
        </w:rPr>
        <w:t> </w:t>
      </w:r>
      <w:r w:rsidR="000F70A3" w:rsidRPr="000F70A3">
        <w:t>Mutlivariable Model Results</w:t>
      </w:r>
    </w:p>
    <w:tbl>
      <w:tblPr>
        <w:tblW w:w="0" w:type="auto"/>
        <w:tblCellMar>
          <w:top w:w="40" w:type="dxa"/>
          <w:left w:w="60" w:type="dxa"/>
          <w:bottom w:w="40" w:type="dxa"/>
          <w:right w:w="60" w:type="dxa"/>
        </w:tblCellMar>
        <w:tblLook w:val="04A0" w:firstRow="1" w:lastRow="0" w:firstColumn="1" w:lastColumn="0" w:noHBand="0" w:noVBand="1"/>
      </w:tblPr>
      <w:tblGrid>
        <w:gridCol w:w="2921"/>
        <w:gridCol w:w="1235"/>
        <w:gridCol w:w="716"/>
        <w:gridCol w:w="1256"/>
        <w:gridCol w:w="1245"/>
      </w:tblGrid>
      <w:tr w:rsidR="000F70A3" w:rsidRPr="000F70A3" w14:paraId="278A9281" w14:textId="77777777" w:rsidTr="0059567E">
        <w:trPr>
          <w:cantSplit/>
        </w:trPr>
        <w:tc>
          <w:tcPr>
            <w:tcW w:w="0" w:type="auto"/>
            <w:shd w:val="clear" w:color="auto" w:fill="auto"/>
          </w:tcPr>
          <w:p w14:paraId="5B30CFBC" w14:textId="77777777" w:rsidR="000F70A3" w:rsidRPr="000F70A3" w:rsidRDefault="000F70A3" w:rsidP="00DC23FA">
            <w:pPr>
              <w:pStyle w:val="710TableheadTablesTableFigureBoxstyles"/>
            </w:pPr>
          </w:p>
        </w:tc>
        <w:tc>
          <w:tcPr>
            <w:tcW w:w="0" w:type="auto"/>
            <w:shd w:val="clear" w:color="auto" w:fill="auto"/>
            <w:vAlign w:val="center"/>
          </w:tcPr>
          <w:p w14:paraId="7A9E3995" w14:textId="77777777" w:rsidR="000F70A3" w:rsidRPr="000F70A3" w:rsidRDefault="000F70A3" w:rsidP="00DC23FA">
            <w:pPr>
              <w:pStyle w:val="710TableheadTablesTableFigureBoxstyles"/>
            </w:pPr>
          </w:p>
        </w:tc>
        <w:tc>
          <w:tcPr>
            <w:tcW w:w="0" w:type="auto"/>
            <w:shd w:val="clear" w:color="auto" w:fill="auto"/>
            <w:vAlign w:val="center"/>
          </w:tcPr>
          <w:p w14:paraId="2314049D" w14:textId="77777777" w:rsidR="000F70A3" w:rsidRPr="000F70A3" w:rsidRDefault="000F70A3" w:rsidP="00DC23FA">
            <w:pPr>
              <w:pStyle w:val="710TableheadTablesTableFigureBoxstyles"/>
            </w:pPr>
          </w:p>
        </w:tc>
        <w:tc>
          <w:tcPr>
            <w:tcW w:w="0" w:type="auto"/>
            <w:gridSpan w:val="2"/>
            <w:shd w:val="clear" w:color="auto" w:fill="auto"/>
            <w:vAlign w:val="center"/>
          </w:tcPr>
          <w:p w14:paraId="5201BBB3" w14:textId="77777777" w:rsidR="000F70A3" w:rsidRPr="000F70A3" w:rsidRDefault="000F70A3" w:rsidP="00DC23FA">
            <w:pPr>
              <w:pStyle w:val="705TableheadgroupTablesTableFigureBoxstyles"/>
            </w:pPr>
            <w:r w:rsidRPr="000F70A3">
              <w:t>95% Confidence Interval (OR)</w:t>
            </w:r>
          </w:p>
        </w:tc>
      </w:tr>
      <w:tr w:rsidR="000F70A3" w:rsidRPr="000F70A3" w14:paraId="5E7B3782" w14:textId="77777777" w:rsidTr="0059567E">
        <w:trPr>
          <w:cantSplit/>
        </w:trPr>
        <w:tc>
          <w:tcPr>
            <w:tcW w:w="0" w:type="auto"/>
            <w:shd w:val="clear" w:color="auto" w:fill="auto"/>
          </w:tcPr>
          <w:p w14:paraId="0A23157D" w14:textId="77777777" w:rsidR="000F70A3" w:rsidRPr="000F70A3" w:rsidRDefault="000F70A3" w:rsidP="00DC23FA">
            <w:pPr>
              <w:pStyle w:val="710TableheadTablesTableFigureBoxstyles"/>
              <w:rPr>
                <w:color w:val="000000"/>
              </w:rPr>
            </w:pPr>
            <w:r w:rsidRPr="000F70A3">
              <w:t>Baseline covariate</w:t>
            </w:r>
          </w:p>
        </w:tc>
        <w:tc>
          <w:tcPr>
            <w:tcW w:w="0" w:type="auto"/>
            <w:shd w:val="clear" w:color="auto" w:fill="auto"/>
            <w:vAlign w:val="center"/>
          </w:tcPr>
          <w:p w14:paraId="7EFC1FD8" w14:textId="77777777" w:rsidR="000F70A3" w:rsidRPr="000F70A3" w:rsidRDefault="000F70A3" w:rsidP="00DC23FA">
            <w:pPr>
              <w:pStyle w:val="710TableheadTablesTableFigureBoxstyles"/>
              <w:rPr>
                <w:color w:val="000000"/>
              </w:rPr>
            </w:pPr>
            <w:r w:rsidRPr="000F70A3">
              <w:t>OR (adjusted)</w:t>
            </w:r>
          </w:p>
        </w:tc>
        <w:tc>
          <w:tcPr>
            <w:tcW w:w="0" w:type="auto"/>
            <w:shd w:val="clear" w:color="auto" w:fill="auto"/>
            <w:vAlign w:val="center"/>
          </w:tcPr>
          <w:p w14:paraId="295E8D98" w14:textId="77777777" w:rsidR="000F70A3" w:rsidRPr="000F70A3" w:rsidRDefault="000F70A3" w:rsidP="00DC23FA">
            <w:pPr>
              <w:pStyle w:val="710TableheadTablesTableFigureBoxstyles"/>
              <w:rPr>
                <w:color w:val="000000"/>
              </w:rPr>
            </w:pPr>
            <w:r w:rsidRPr="000F70A3">
              <w:rPr>
                <w:i/>
                <w:color w:val="00B0F0"/>
              </w:rPr>
              <w:t>p</w:t>
            </w:r>
            <w:r w:rsidRPr="000F70A3">
              <w:t>-value</w:t>
            </w:r>
          </w:p>
        </w:tc>
        <w:tc>
          <w:tcPr>
            <w:tcW w:w="0" w:type="auto"/>
            <w:shd w:val="clear" w:color="auto" w:fill="auto"/>
            <w:vAlign w:val="center"/>
          </w:tcPr>
          <w:p w14:paraId="2B6AB7E4" w14:textId="77777777" w:rsidR="000F70A3" w:rsidRPr="000F70A3" w:rsidRDefault="000F70A3" w:rsidP="00DC23FA">
            <w:pPr>
              <w:pStyle w:val="710TableheadTablesTableFigureBoxstyles"/>
              <w:rPr>
                <w:color w:val="000000"/>
              </w:rPr>
            </w:pPr>
            <w:r w:rsidRPr="000F70A3">
              <w:t>Lower Limit</w:t>
            </w:r>
          </w:p>
        </w:tc>
        <w:tc>
          <w:tcPr>
            <w:tcW w:w="0" w:type="auto"/>
            <w:shd w:val="clear" w:color="auto" w:fill="auto"/>
            <w:vAlign w:val="center"/>
          </w:tcPr>
          <w:p w14:paraId="381D7E18" w14:textId="77777777" w:rsidR="000F70A3" w:rsidRPr="000F70A3" w:rsidRDefault="000F70A3" w:rsidP="00DC23FA">
            <w:pPr>
              <w:pStyle w:val="710TableheadTablesTableFigureBoxstyles"/>
            </w:pPr>
            <w:r w:rsidRPr="000F70A3">
              <w:t>Upper Limit</w:t>
            </w:r>
          </w:p>
        </w:tc>
      </w:tr>
      <w:tr w:rsidR="000F70A3" w:rsidRPr="000F70A3" w14:paraId="7B850FD3" w14:textId="77777777" w:rsidTr="0059567E">
        <w:trPr>
          <w:cantSplit/>
        </w:trPr>
        <w:tc>
          <w:tcPr>
            <w:tcW w:w="0" w:type="auto"/>
            <w:shd w:val="clear" w:color="auto" w:fill="auto"/>
            <w:vAlign w:val="center"/>
          </w:tcPr>
          <w:p w14:paraId="380D596F" w14:textId="77777777" w:rsidR="000F70A3" w:rsidRPr="000F70A3" w:rsidRDefault="000F70A3" w:rsidP="00DC23FA">
            <w:pPr>
              <w:pStyle w:val="72TabletextTablesTableFigureBoxstyles"/>
            </w:pPr>
            <w:r w:rsidRPr="000F70A3">
              <w:t>Intercept</w:t>
            </w:r>
          </w:p>
        </w:tc>
        <w:tc>
          <w:tcPr>
            <w:tcW w:w="0" w:type="auto"/>
            <w:shd w:val="clear" w:color="auto" w:fill="auto"/>
            <w:vAlign w:val="center"/>
          </w:tcPr>
          <w:p w14:paraId="732CBDAE" w14:textId="77777777" w:rsidR="000F70A3" w:rsidRPr="000F70A3" w:rsidRDefault="000F70A3" w:rsidP="00DC23FA">
            <w:pPr>
              <w:pStyle w:val="72TabletextTablesTableFigureBoxstyles"/>
              <w:rPr>
                <w:lang w:eastAsia="en-GB"/>
              </w:rPr>
            </w:pPr>
            <w:r w:rsidRPr="000F70A3">
              <w:t>0.063</w:t>
            </w:r>
          </w:p>
        </w:tc>
        <w:tc>
          <w:tcPr>
            <w:tcW w:w="0" w:type="auto"/>
            <w:shd w:val="clear" w:color="auto" w:fill="auto"/>
            <w:vAlign w:val="center"/>
          </w:tcPr>
          <w:p w14:paraId="1675AB8F" w14:textId="77777777" w:rsidR="000F70A3" w:rsidRPr="000F70A3" w:rsidRDefault="000F70A3" w:rsidP="00DC23FA">
            <w:pPr>
              <w:pStyle w:val="72TabletextTablesTableFigureBoxstyles"/>
              <w:rPr>
                <w:lang w:eastAsia="en-GB"/>
              </w:rPr>
            </w:pPr>
            <w:r w:rsidRPr="000F70A3">
              <w:rPr>
                <w:color w:val="00B0F0"/>
              </w:rPr>
              <w:t>&lt; </w:t>
            </w:r>
            <w:r w:rsidRPr="000F70A3">
              <w:t>0.001</w:t>
            </w:r>
          </w:p>
        </w:tc>
        <w:tc>
          <w:tcPr>
            <w:tcW w:w="0" w:type="auto"/>
            <w:shd w:val="clear" w:color="auto" w:fill="auto"/>
            <w:vAlign w:val="center"/>
          </w:tcPr>
          <w:p w14:paraId="3B433D6E" w14:textId="77777777" w:rsidR="000F70A3" w:rsidRPr="000F70A3" w:rsidRDefault="000F70A3" w:rsidP="00DC23FA">
            <w:pPr>
              <w:pStyle w:val="72TabletextTablesTableFigureBoxstyles"/>
              <w:rPr>
                <w:lang w:eastAsia="en-GB"/>
              </w:rPr>
            </w:pPr>
            <w:r w:rsidRPr="000F70A3">
              <w:t>0.015</w:t>
            </w:r>
          </w:p>
        </w:tc>
        <w:tc>
          <w:tcPr>
            <w:tcW w:w="0" w:type="auto"/>
            <w:shd w:val="clear" w:color="auto" w:fill="auto"/>
            <w:vAlign w:val="center"/>
          </w:tcPr>
          <w:p w14:paraId="1D986C72" w14:textId="77777777" w:rsidR="000F70A3" w:rsidRPr="000F70A3" w:rsidRDefault="000F70A3" w:rsidP="00DC23FA">
            <w:pPr>
              <w:pStyle w:val="72TabletextTablesTableFigureBoxstyles"/>
              <w:rPr>
                <w:lang w:eastAsia="en-GB"/>
              </w:rPr>
            </w:pPr>
            <w:r w:rsidRPr="000F70A3">
              <w:t>0.257</w:t>
            </w:r>
          </w:p>
        </w:tc>
      </w:tr>
      <w:tr w:rsidR="000F70A3" w:rsidRPr="000F70A3" w14:paraId="3C135910" w14:textId="77777777" w:rsidTr="0059567E">
        <w:trPr>
          <w:cantSplit/>
        </w:trPr>
        <w:tc>
          <w:tcPr>
            <w:tcW w:w="0" w:type="auto"/>
            <w:shd w:val="clear" w:color="auto" w:fill="auto"/>
            <w:vAlign w:val="center"/>
          </w:tcPr>
          <w:p w14:paraId="3ABD1D9E" w14:textId="77777777" w:rsidR="000F70A3" w:rsidRPr="000F70A3" w:rsidRDefault="000F70A3" w:rsidP="00DC23FA">
            <w:pPr>
              <w:pStyle w:val="72TabletextTablesTableFigureBoxstyles"/>
            </w:pPr>
            <w:r w:rsidRPr="000F70A3">
              <w:t>Age</w:t>
            </w:r>
          </w:p>
        </w:tc>
        <w:tc>
          <w:tcPr>
            <w:tcW w:w="0" w:type="auto"/>
            <w:shd w:val="clear" w:color="auto" w:fill="auto"/>
            <w:vAlign w:val="center"/>
          </w:tcPr>
          <w:p w14:paraId="04261BEE" w14:textId="77777777" w:rsidR="000F70A3" w:rsidRPr="000F70A3" w:rsidRDefault="000F70A3" w:rsidP="00DC23FA">
            <w:pPr>
              <w:pStyle w:val="72TabletextTablesTableFigureBoxstyles"/>
            </w:pPr>
            <w:r w:rsidRPr="000F70A3">
              <w:t>1.054</w:t>
            </w:r>
          </w:p>
        </w:tc>
        <w:tc>
          <w:tcPr>
            <w:tcW w:w="0" w:type="auto"/>
            <w:shd w:val="clear" w:color="auto" w:fill="auto"/>
            <w:vAlign w:val="center"/>
          </w:tcPr>
          <w:p w14:paraId="450A31A8" w14:textId="77777777" w:rsidR="000F70A3" w:rsidRPr="000F70A3" w:rsidRDefault="000F70A3" w:rsidP="00DC23FA">
            <w:pPr>
              <w:pStyle w:val="72TabletextTablesTableFigureBoxstyles"/>
            </w:pPr>
            <w:r w:rsidRPr="000F70A3">
              <w:t>0.345</w:t>
            </w:r>
          </w:p>
        </w:tc>
        <w:tc>
          <w:tcPr>
            <w:tcW w:w="0" w:type="auto"/>
            <w:shd w:val="clear" w:color="auto" w:fill="auto"/>
            <w:vAlign w:val="center"/>
          </w:tcPr>
          <w:p w14:paraId="331FDCB7" w14:textId="77777777" w:rsidR="000F70A3" w:rsidRPr="000F70A3" w:rsidRDefault="000F70A3" w:rsidP="00DC23FA">
            <w:pPr>
              <w:pStyle w:val="72TabletextTablesTableFigureBoxstyles"/>
            </w:pPr>
            <w:r w:rsidRPr="000F70A3">
              <w:t>0.945</w:t>
            </w:r>
          </w:p>
        </w:tc>
        <w:tc>
          <w:tcPr>
            <w:tcW w:w="0" w:type="auto"/>
            <w:shd w:val="clear" w:color="auto" w:fill="auto"/>
            <w:vAlign w:val="center"/>
          </w:tcPr>
          <w:p w14:paraId="6863146C" w14:textId="77777777" w:rsidR="000F70A3" w:rsidRPr="000F70A3" w:rsidRDefault="000F70A3" w:rsidP="00DC23FA">
            <w:pPr>
              <w:pStyle w:val="72TabletextTablesTableFigureBoxstyles"/>
            </w:pPr>
            <w:r w:rsidRPr="000F70A3">
              <w:t>1.177</w:t>
            </w:r>
          </w:p>
        </w:tc>
      </w:tr>
      <w:tr w:rsidR="000F70A3" w:rsidRPr="000F70A3" w14:paraId="542C17D0" w14:textId="77777777" w:rsidTr="0059567E">
        <w:trPr>
          <w:cantSplit/>
        </w:trPr>
        <w:tc>
          <w:tcPr>
            <w:tcW w:w="0" w:type="auto"/>
            <w:shd w:val="clear" w:color="auto" w:fill="auto"/>
            <w:vAlign w:val="center"/>
          </w:tcPr>
          <w:p w14:paraId="4D4C8EE2" w14:textId="77777777" w:rsidR="000F70A3" w:rsidRPr="000F70A3" w:rsidRDefault="000F70A3" w:rsidP="00DC23FA">
            <w:pPr>
              <w:pStyle w:val="72TabletextTablesTableFigureBoxstyles"/>
            </w:pPr>
            <w:r w:rsidRPr="000F70A3">
              <w:t>One or more smokers in household (yes)</w:t>
            </w:r>
          </w:p>
        </w:tc>
        <w:tc>
          <w:tcPr>
            <w:tcW w:w="0" w:type="auto"/>
            <w:shd w:val="clear" w:color="auto" w:fill="auto"/>
            <w:vAlign w:val="center"/>
          </w:tcPr>
          <w:p w14:paraId="0D12464D" w14:textId="77777777" w:rsidR="000F70A3" w:rsidRPr="000F70A3" w:rsidRDefault="000F70A3" w:rsidP="00DC23FA">
            <w:pPr>
              <w:pStyle w:val="72TabletextTablesTableFigureBoxstyles"/>
            </w:pPr>
            <w:r w:rsidRPr="000F70A3">
              <w:t>0.382</w:t>
            </w:r>
          </w:p>
        </w:tc>
        <w:tc>
          <w:tcPr>
            <w:tcW w:w="0" w:type="auto"/>
            <w:shd w:val="clear" w:color="auto" w:fill="auto"/>
            <w:vAlign w:val="center"/>
          </w:tcPr>
          <w:p w14:paraId="111FB56B" w14:textId="77777777" w:rsidR="000F70A3" w:rsidRPr="000F70A3" w:rsidRDefault="000F70A3" w:rsidP="00DC23FA">
            <w:pPr>
              <w:pStyle w:val="72TabletextTablesTableFigureBoxstyles"/>
            </w:pPr>
            <w:r w:rsidRPr="000F70A3">
              <w:t>0.043</w:t>
            </w:r>
          </w:p>
        </w:tc>
        <w:tc>
          <w:tcPr>
            <w:tcW w:w="0" w:type="auto"/>
            <w:shd w:val="clear" w:color="auto" w:fill="auto"/>
            <w:vAlign w:val="center"/>
          </w:tcPr>
          <w:p w14:paraId="087F7B41" w14:textId="77777777" w:rsidR="000F70A3" w:rsidRPr="000F70A3" w:rsidRDefault="000F70A3" w:rsidP="00DC23FA">
            <w:pPr>
              <w:pStyle w:val="72TabletextTablesTableFigureBoxstyles"/>
            </w:pPr>
            <w:r w:rsidRPr="000F70A3">
              <w:t>0.150</w:t>
            </w:r>
          </w:p>
        </w:tc>
        <w:tc>
          <w:tcPr>
            <w:tcW w:w="0" w:type="auto"/>
            <w:shd w:val="clear" w:color="auto" w:fill="auto"/>
            <w:vAlign w:val="center"/>
          </w:tcPr>
          <w:p w14:paraId="1DA814A1" w14:textId="77777777" w:rsidR="000F70A3" w:rsidRPr="000F70A3" w:rsidRDefault="000F70A3" w:rsidP="00DC23FA">
            <w:pPr>
              <w:pStyle w:val="72TabletextTablesTableFigureBoxstyles"/>
            </w:pPr>
            <w:r w:rsidRPr="000F70A3">
              <w:t>0.972</w:t>
            </w:r>
          </w:p>
        </w:tc>
      </w:tr>
      <w:tr w:rsidR="000F70A3" w:rsidRPr="000F70A3" w14:paraId="08C38F10" w14:textId="77777777" w:rsidTr="0059567E">
        <w:trPr>
          <w:cantSplit/>
        </w:trPr>
        <w:tc>
          <w:tcPr>
            <w:tcW w:w="0" w:type="auto"/>
            <w:shd w:val="clear" w:color="auto" w:fill="auto"/>
            <w:vAlign w:val="center"/>
          </w:tcPr>
          <w:p w14:paraId="3A9A70A9" w14:textId="77777777" w:rsidR="000F70A3" w:rsidRPr="000F70A3" w:rsidRDefault="000F70A3" w:rsidP="00DC23FA">
            <w:pPr>
              <w:pStyle w:val="72TabletextTablesTableFigureBoxstyles"/>
            </w:pPr>
            <w:r w:rsidRPr="000F70A3">
              <w:t xml:space="preserve">Respiratory Rate </w:t>
            </w:r>
          </w:p>
        </w:tc>
        <w:tc>
          <w:tcPr>
            <w:tcW w:w="0" w:type="auto"/>
            <w:shd w:val="clear" w:color="auto" w:fill="auto"/>
            <w:vAlign w:val="center"/>
          </w:tcPr>
          <w:p w14:paraId="51E0E506" w14:textId="77777777" w:rsidR="000F70A3" w:rsidRPr="000F70A3" w:rsidRDefault="000F70A3" w:rsidP="00DC23FA">
            <w:pPr>
              <w:pStyle w:val="72TabletextTablesTableFigureBoxstyles"/>
            </w:pPr>
            <w:r w:rsidRPr="000F70A3">
              <w:t>1.052</w:t>
            </w:r>
          </w:p>
        </w:tc>
        <w:tc>
          <w:tcPr>
            <w:tcW w:w="0" w:type="auto"/>
            <w:shd w:val="clear" w:color="auto" w:fill="auto"/>
            <w:vAlign w:val="center"/>
          </w:tcPr>
          <w:p w14:paraId="3BBF0B05" w14:textId="77777777" w:rsidR="000F70A3" w:rsidRPr="000F70A3" w:rsidRDefault="000F70A3" w:rsidP="00DC23FA">
            <w:pPr>
              <w:pStyle w:val="72TabletextTablesTableFigureBoxstyles"/>
            </w:pPr>
            <w:r w:rsidRPr="000F70A3">
              <w:t>0.006</w:t>
            </w:r>
          </w:p>
        </w:tc>
        <w:tc>
          <w:tcPr>
            <w:tcW w:w="0" w:type="auto"/>
            <w:shd w:val="clear" w:color="auto" w:fill="auto"/>
            <w:vAlign w:val="center"/>
          </w:tcPr>
          <w:p w14:paraId="2B16919D" w14:textId="77777777" w:rsidR="000F70A3" w:rsidRPr="000F70A3" w:rsidRDefault="000F70A3" w:rsidP="00DC23FA">
            <w:pPr>
              <w:pStyle w:val="72TabletextTablesTableFigureBoxstyles"/>
            </w:pPr>
            <w:r w:rsidRPr="000F70A3">
              <w:t>1.014</w:t>
            </w:r>
          </w:p>
        </w:tc>
        <w:tc>
          <w:tcPr>
            <w:tcW w:w="0" w:type="auto"/>
            <w:shd w:val="clear" w:color="auto" w:fill="auto"/>
            <w:vAlign w:val="center"/>
          </w:tcPr>
          <w:p w14:paraId="1BDD02DD" w14:textId="77777777" w:rsidR="000F70A3" w:rsidRPr="000F70A3" w:rsidRDefault="000F70A3" w:rsidP="00DC23FA">
            <w:pPr>
              <w:pStyle w:val="72TabletextTablesTableFigureBoxstyles"/>
            </w:pPr>
            <w:r w:rsidRPr="000F70A3">
              <w:t>1.091</w:t>
            </w:r>
          </w:p>
        </w:tc>
      </w:tr>
      <w:tr w:rsidR="00DC23FA" w:rsidRPr="000F70A3" w14:paraId="63249A4D" w14:textId="77777777" w:rsidTr="007072EE">
        <w:trPr>
          <w:cantSplit/>
        </w:trPr>
        <w:tc>
          <w:tcPr>
            <w:tcW w:w="0" w:type="auto"/>
            <w:gridSpan w:val="5"/>
            <w:shd w:val="clear" w:color="auto" w:fill="auto"/>
            <w:vAlign w:val="center"/>
          </w:tcPr>
          <w:p w14:paraId="015CE0B1" w14:textId="7837FBF9" w:rsidR="00DC23FA" w:rsidRPr="00DC23FA" w:rsidRDefault="00DC23FA" w:rsidP="00DC23FA">
            <w:pPr>
              <w:pStyle w:val="75TablenotesTablesTableFigureBoxstyles"/>
            </w:pPr>
            <w:r w:rsidRPr="000F70A3">
              <w:t>OR (adjusted) = adjusted Odds Ratio (adjusted for</w:t>
            </w:r>
            <w:r>
              <w:t xml:space="preserve"> all other covariates in Model)</w:t>
            </w:r>
          </w:p>
        </w:tc>
      </w:tr>
    </w:tbl>
    <w:p w14:paraId="2E061755" w14:textId="77777777" w:rsidR="000F70A3" w:rsidRPr="000F70A3" w:rsidRDefault="000F70A3" w:rsidP="00DC23FA">
      <w:pPr>
        <w:pStyle w:val="602TextfoTextstylesTextstyles"/>
      </w:pPr>
      <w:r w:rsidRPr="000F70A3">
        <w:t>The model has moderate to low discrimination and calibration as can be seen in the plots below. Unlikely to be of significant clinical importance. As mentioned above, given the limited sample, these models should all be interpreted as exploratory.</w:t>
      </w:r>
    </w:p>
    <w:p w14:paraId="3AB9E222" w14:textId="44741754" w:rsidR="000F70A3" w:rsidRPr="000F70A3" w:rsidRDefault="00DC23FA" w:rsidP="000F70A3">
      <w:pPr>
        <w:pStyle w:val="81FigurelegendTableFigureBoxstyles"/>
      </w:pPr>
      <w:r w:rsidRPr="00DC23FA">
        <w:rPr>
          <w:b/>
        </w:rPr>
        <w:t>FIGURE 6</w:t>
      </w:r>
      <w:r w:rsidRPr="00DC23FA">
        <w:rPr>
          <w:b/>
        </w:rPr>
        <w:t> </w:t>
      </w:r>
      <w:r w:rsidR="000F70A3" w:rsidRPr="000F70A3">
        <w:t>AUROC (based on lroc in STATA)</w:t>
      </w:r>
    </w:p>
    <w:p w14:paraId="08250C6B" w14:textId="041696E8" w:rsidR="000F70A3" w:rsidRPr="000F70A3" w:rsidRDefault="00DC23FA" w:rsidP="000F70A3">
      <w:pPr>
        <w:pStyle w:val="81FigurelegendTableFigureBoxstyles"/>
      </w:pPr>
      <w:r w:rsidRPr="00DC23FA">
        <w:rPr>
          <w:b/>
        </w:rPr>
        <w:t>FIGURE 7</w:t>
      </w:r>
      <w:r w:rsidRPr="00DC23FA">
        <w:rPr>
          <w:b/>
        </w:rPr>
        <w:t> </w:t>
      </w:r>
      <w:r w:rsidR="000F70A3" w:rsidRPr="000F70A3">
        <w:t>Calibration plot (based on lowess in STATA)</w:t>
      </w:r>
    </w:p>
    <w:p w14:paraId="105A2516" w14:textId="77777777" w:rsidR="000F70A3" w:rsidRPr="000F70A3" w:rsidRDefault="000F70A3" w:rsidP="00DC23FA">
      <w:pPr>
        <w:pStyle w:val="52AheadHeadingsHeadingstyles"/>
      </w:pPr>
      <w:r w:rsidRPr="000F70A3">
        <w:t>Limitations</w:t>
      </w:r>
    </w:p>
    <w:p w14:paraId="6D4D8A04" w14:textId="77777777" w:rsidR="000F70A3" w:rsidRPr="000F70A3" w:rsidRDefault="000F70A3" w:rsidP="00DC23FA">
      <w:pPr>
        <w:pStyle w:val="602TextfoTextstylesTextstyles"/>
      </w:pPr>
      <w:r w:rsidRPr="000F70A3">
        <w:rPr>
          <w:highlight w:val="magenta"/>
        </w:rPr>
        <w:t>Data</w:t>
      </w:r>
      <w:r w:rsidRPr="000F70A3">
        <w:t xml:space="preserve"> available in order to construct multivariable models were severely limited by fewer recruits than originally projected (271/650). Additionally the event rate did not meet the threshold for enabling the calculation of all original proposed models and </w:t>
      </w:r>
      <w:r w:rsidRPr="000F70A3">
        <w:rPr>
          <w:highlight w:val="magenta"/>
        </w:rPr>
        <w:t>data</w:t>
      </w:r>
      <w:r w:rsidRPr="000F70A3">
        <w:t xml:space="preserve"> were only available to calculate one limited multivariable model that should be considered exploratory only.</w:t>
      </w:r>
    </w:p>
    <w:p w14:paraId="52B4B12A" w14:textId="77777777" w:rsidR="000F70A3" w:rsidRPr="000F70A3" w:rsidRDefault="000F70A3" w:rsidP="00DC23FA">
      <w:pPr>
        <w:pStyle w:val="52AheadHeadingsHeadingstyles"/>
      </w:pPr>
      <w:r w:rsidRPr="000F70A3">
        <w:t>Conclusion</w:t>
      </w:r>
    </w:p>
    <w:p w14:paraId="78FD7FE1" w14:textId="77777777" w:rsidR="000F70A3" w:rsidRPr="000F70A3" w:rsidRDefault="000F70A3" w:rsidP="00DC23FA">
      <w:pPr>
        <w:pStyle w:val="602TextfoTextstylesTextstyles"/>
      </w:pPr>
      <w:r w:rsidRPr="000F70A3">
        <w:t xml:space="preserve">No statistically significant associations with re-consultation </w:t>
      </w:r>
      <w:r w:rsidRPr="000F70A3">
        <w:rPr>
          <w:highlight w:val="magenta"/>
        </w:rPr>
        <w:t>due to</w:t>
      </w:r>
      <w:r w:rsidRPr="000F70A3">
        <w:t xml:space="preserve"> clinical deterioration were observed for treatment arm (co-amoxiclav versus placebo), risk factor in respiratory category (versus other risk factors), or recruitment in secondary care vs primary care based on the limited </w:t>
      </w:r>
      <w:r w:rsidRPr="000F70A3">
        <w:rPr>
          <w:highlight w:val="magenta"/>
        </w:rPr>
        <w:t>data</w:t>
      </w:r>
      <w:r w:rsidRPr="000F70A3">
        <w:t xml:space="preserve"> available. The only multivariable model that could be constructed demonstrated an increase risk associated with higher respiratory rate and a decreased risk associated with a smoker in the household but these must be regarded as exploratory only. A far greater sample size would be required in order to produce accurate models.</w:t>
      </w:r>
    </w:p>
    <w:p w14:paraId="301FE2F6" w14:textId="77777777" w:rsidR="000F70A3" w:rsidRPr="000F70A3" w:rsidRDefault="000F70A3" w:rsidP="00DC23FA">
      <w:pPr>
        <w:pStyle w:val="602TextfoTextstylesTextstyles"/>
      </w:pPr>
      <w:r w:rsidRPr="000F70A3">
        <w:t>References:</w:t>
      </w:r>
    </w:p>
    <w:p w14:paraId="5252B389" w14:textId="24194656" w:rsidR="000F70A3" w:rsidRPr="000F70A3" w:rsidRDefault="000F70A3" w:rsidP="00DC23FA">
      <w:pPr>
        <w:pStyle w:val="621TextnumberedlistTextstylesTextstyles"/>
      </w:pPr>
      <w:r w:rsidRPr="000F70A3">
        <w:rPr>
          <w:lang w:val="nl-NL"/>
        </w:rPr>
        <w:t>Riley RD, Snell KIE, Ensor J,</w:t>
      </w:r>
      <w:r w:rsidRPr="000F70A3">
        <w:rPr>
          <w:i/>
          <w:color w:val="00B0F0"/>
          <w:lang w:val="nl-NL"/>
        </w:rPr>
        <w:t xml:space="preserve"> et al</w:t>
      </w:r>
      <w:r w:rsidRPr="000F70A3">
        <w:rPr>
          <w:lang w:val="nl-NL"/>
        </w:rPr>
        <w:t xml:space="preserve">. </w:t>
      </w:r>
      <w:r w:rsidRPr="000F70A3">
        <w:t>Minimum sample size for developing a multivariable prediction model: PART II</w:t>
      </w:r>
      <w:r w:rsidRPr="000F70A3">
        <w:rPr>
          <w:color w:val="00B0F0"/>
        </w:rPr>
        <w:t xml:space="preserve"> – </w:t>
      </w:r>
      <w:r w:rsidRPr="000F70A3">
        <w:t>binary and time-to-event outcomes. Statistics in Medicine. 2019;38:1276–1296.</w:t>
      </w:r>
    </w:p>
    <w:p w14:paraId="49BE6323" w14:textId="0EE04C1F" w:rsidR="000F70A3" w:rsidRPr="000F70A3" w:rsidRDefault="000F70A3" w:rsidP="00DC23FA">
      <w:pPr>
        <w:pStyle w:val="6211TextnumberedlistlastTextstylesTextstyles"/>
        <w:rPr>
          <w:sz w:val="24"/>
          <w:szCs w:val="24"/>
        </w:rPr>
      </w:pPr>
      <w:r w:rsidRPr="000F70A3">
        <w:t>Altman DG. Practical Statistics for Medical Research. London: Chapman and Hall.</w:t>
      </w:r>
    </w:p>
    <w:sectPr w:rsidR="000F70A3" w:rsidRPr="000F70A3">
      <w:footerReference w:type="default" r:id="rId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Siân Jones" w:date="2022-08-01T16:55:00Z" w:initials="SJ">
    <w:p w14:paraId="75DFA956" w14:textId="77777777" w:rsidR="00DA3216" w:rsidRDefault="00DA3216" w:rsidP="000F70A3">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207047D9" w14:textId="77777777" w:rsidR="00DA3216" w:rsidRDefault="00DA3216" w:rsidP="000F70A3">
      <w:pPr>
        <w:pStyle w:val="CommentText"/>
      </w:pPr>
      <w:r>
        <w:t>If copyright permission is required for any reproduced material from your dual publications, please seek this as early as possible to avoid any delays.</w:t>
      </w:r>
    </w:p>
  </w:comment>
  <w:comment w:id="2" w:author="Siân Jones" w:date="2022-08-01T16:42:00Z" w:initials="SJ">
    <w:p w14:paraId="0E811033" w14:textId="77777777" w:rsidR="00DA3216" w:rsidRDefault="00DA3216" w:rsidP="000F70A3">
      <w:pPr>
        <w:pStyle w:val="CommentText"/>
      </w:pPr>
      <w:r>
        <w:rPr>
          <w:rStyle w:val="CommentReference"/>
        </w:rPr>
        <w:annotationRef/>
      </w:r>
      <w:r>
        <w:t>Text amended to match that on the ICMJE form;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7047D9" w15:done="0"/>
  <w15:commentEx w15:paraId="0E8110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283F9" w16cex:dateUtc="2022-08-01T15:55:00Z"/>
  <w16cex:commentExtensible w16cex:durableId="269280DE" w16cex:dateUtc="2022-08-01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7047D9" w16cid:durableId="26A01CB6"/>
  <w16cid:commentId w16cid:paraId="0E811033" w16cid:durableId="26A01C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6899D" w14:textId="77777777" w:rsidR="003934E4" w:rsidRDefault="003934E4" w:rsidP="00602EC4">
      <w:r>
        <w:separator/>
      </w:r>
    </w:p>
  </w:endnote>
  <w:endnote w:type="continuationSeparator" w:id="0">
    <w:p w14:paraId="35135FF2" w14:textId="77777777" w:rsidR="003934E4" w:rsidRDefault="003934E4" w:rsidP="00602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Lato Black">
    <w:altName w:val="Arial"/>
    <w:panose1 w:val="020F0A02020204030203"/>
    <w:charset w:val="00"/>
    <w:family w:val="swiss"/>
    <w:pitch w:val="variable"/>
    <w:sig w:usb0="A00000AF" w:usb1="5000604B" w:usb2="00000000" w:usb3="00000000" w:csb0="00000093" w:csb1="00000000"/>
  </w:font>
  <w:font w:name="Humanist777BT-BlackB">
    <w:altName w:val="Calibri"/>
    <w:panose1 w:val="00000000000000000000"/>
    <w:charset w:val="4D"/>
    <w:family w:val="auto"/>
    <w:notTrueType/>
    <w:pitch w:val="default"/>
    <w:sig w:usb0="00000003" w:usb1="00000000" w:usb2="00000000" w:usb3="00000000" w:csb0="00000001" w:csb1="00000000"/>
  </w:font>
  <w:font w:name="Lato">
    <w:altName w:val="Calibri"/>
    <w:panose1 w:val="020F0502020204030203"/>
    <w:charset w:val="00"/>
    <w:family w:val="swiss"/>
    <w:pitch w:val="variable"/>
    <w:sig w:usb0="A00000AF" w:usb1="5000604B" w:usb2="00000000" w:usb3="00000000" w:csb0="00000093" w:csb1="00000000"/>
  </w:font>
  <w:font w:name="Humanist777BT-RomanB">
    <w:altName w:val="Calibri"/>
    <w:panose1 w:val="00000000000000000000"/>
    <w:charset w:val="4D"/>
    <w:family w:val="auto"/>
    <w:notTrueType/>
    <w:pitch w:val="default"/>
    <w:sig w:usb0="00000003" w:usb1="00000000" w:usb2="00000000" w:usb3="00000000" w:csb0="00000001" w:csb1="00000000"/>
  </w:font>
  <w:font w:name="Humanist777BT-LightB">
    <w:altName w:val="Calibri"/>
    <w:panose1 w:val="00000000000000000000"/>
    <w:charset w:val="4D"/>
    <w:family w:val="auto"/>
    <w:notTrueType/>
    <w:pitch w:val="default"/>
    <w:sig w:usb0="00000003" w:usb1="00000000" w:usb2="00000000" w:usb3="00000000" w:csb0="00000001" w:csb1="00000000"/>
  </w:font>
  <w:font w:name="Humanist777BT-BoldB">
    <w:altName w:val="Calibri"/>
    <w:panose1 w:val="00000000000000000000"/>
    <w:charset w:val="4D"/>
    <w:family w:val="auto"/>
    <w:notTrueType/>
    <w:pitch w:val="default"/>
    <w:sig w:usb0="00000003" w:usb1="00000000" w:usb2="00000000" w:usb3="00000000" w:csb0="00000001" w:csb1="00000000"/>
  </w:font>
  <w:font w:name="Humanist777BT-RomanCondensedB">
    <w:altName w:val="Calibri"/>
    <w:panose1 w:val="00000000000000000000"/>
    <w:charset w:val="4D"/>
    <w:family w:val="auto"/>
    <w:notTrueType/>
    <w:pitch w:val="default"/>
    <w:sig w:usb0="00000003" w:usb1="00000000" w:usb2="00000000" w:usb3="00000000" w:csb0="00000001" w:csb1="00000000"/>
  </w:font>
  <w:font w:name="Lato Heavy">
    <w:altName w:val="Calibri"/>
    <w:charset w:val="00"/>
    <w:family w:val="swiss"/>
    <w:pitch w:val="variable"/>
    <w:sig w:usb0="E10002FF" w:usb1="5000ECFF" w:usb2="00000021" w:usb3="00000000" w:csb0="0000019F" w:csb1="00000000"/>
  </w:font>
  <w:font w:name="Lato Medium">
    <w:altName w:val="Arial"/>
    <w:charset w:val="00"/>
    <w:family w:val="swiss"/>
    <w:pitch w:val="variable"/>
    <w:sig w:usb0="E10002FF" w:usb1="5000ECFF" w:usb2="00000021" w:usb3="00000000" w:csb0="0000019F" w:csb1="00000000"/>
  </w:font>
  <w:font w:name="Humanist777BT-BlackCondensedB">
    <w:altName w:val="Calibri"/>
    <w:panose1 w:val="00000000000000000000"/>
    <w:charset w:val="4D"/>
    <w:family w:val="auto"/>
    <w:notTrueType/>
    <w:pitch w:val="default"/>
    <w:sig w:usb0="00000003" w:usb1="00000000" w:usb2="00000000" w:usb3="00000000" w:csb0="00000001" w:csb1="00000000"/>
  </w:font>
  <w:font w:name="Humanist777BT-BoldItalicB">
    <w:altName w:val="Calibri"/>
    <w:panose1 w:val="00000000000000000000"/>
    <w:charset w:val="4D"/>
    <w:family w:val="auto"/>
    <w:notTrueType/>
    <w:pitch w:val="default"/>
    <w:sig w:usb0="00000003" w:usb1="00000000" w:usb2="00000000" w:usb3="00000000" w:csb0="00000001" w:csb1="00000000"/>
  </w:font>
  <w:font w:name="Humanist777BT-ItalicB">
    <w:altName w:val="Calibri"/>
    <w:panose1 w:val="00000000000000000000"/>
    <w:charset w:val="4D"/>
    <w:family w:val="auto"/>
    <w:notTrueType/>
    <w:pitch w:val="default"/>
    <w:sig w:usb0="00000003" w:usb1="00000000" w:usb2="00000000" w:usb3="00000000" w:csb0="00000001" w:csb1="00000000"/>
  </w:font>
  <w:font w:name="Humanist777BT-LightItalicB">
    <w:altName w:val="Calibri"/>
    <w:panose1 w:val="00000000000000000000"/>
    <w:charset w:val="4D"/>
    <w:family w:val="auto"/>
    <w:notTrueType/>
    <w:pitch w:val="default"/>
    <w:sig w:usb0="00000003" w:usb1="00000000" w:usb2="00000000" w:usb3="00000000" w:csb0="00000001" w:csb1="00000000"/>
  </w:font>
  <w:font w:name="Minion Pro Med">
    <w:altName w:val="Hiragino Mincho ProN W3"/>
    <w:panose1 w:val="00000000000000000000"/>
    <w:charset w:val="00"/>
    <w:family w:val="roman"/>
    <w:notTrueType/>
    <w:pitch w:val="variable"/>
    <w:sig w:usb0="60000287" w:usb1="00000001" w:usb2="00000000" w:usb3="00000000" w:csb0="0000019F" w:csb1="00000000"/>
  </w:font>
  <w:font w:name="Lato SemiBold">
    <w:altName w:val="Lato Semibold"/>
    <w:panose1 w:val="020F0702020204030203"/>
    <w:charset w:val="00"/>
    <w:family w:val="swiss"/>
    <w:pitch w:val="variable"/>
    <w:sig w:usb0="E10002FF" w:usb1="5000ECFF" w:usb2="00000029" w:usb3="00000000" w:csb0="0000019F" w:csb1="00000000"/>
  </w:font>
  <w:font w:name="Frutiger LT Pro 55 Roman">
    <w:altName w:val="Frutiger LT Pro 55 Roman"/>
    <w:charset w:val="4D"/>
    <w:family w:val="swiss"/>
    <w:pitch w:val="variable"/>
    <w:sig w:usb0="A00000AF" w:usb1="5000204A" w:usb2="00000000" w:usb3="00000000" w:csb0="00000093" w:csb1="00000000"/>
  </w:font>
  <w:font w:name="Frutiger LT Pro 45 Light">
    <w:altName w:val="Calibri"/>
    <w:charset w:val="4D"/>
    <w:family w:val="swiss"/>
    <w:pitch w:val="variable"/>
    <w:sig w:usb0="A00000AF" w:usb1="5000204A" w:usb2="00000000" w:usb3="00000000" w:csb0="00000093"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63326" w14:textId="5B4C0DB8" w:rsidR="00DA3216" w:rsidRDefault="00DA3216" w:rsidP="003465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1A79C" w14:textId="77777777" w:rsidR="003934E4" w:rsidRDefault="003934E4" w:rsidP="00602EC4">
      <w:r>
        <w:separator/>
      </w:r>
    </w:p>
  </w:footnote>
  <w:footnote w:type="continuationSeparator" w:id="0">
    <w:p w14:paraId="70C91219" w14:textId="77777777" w:rsidR="003934E4" w:rsidRDefault="003934E4" w:rsidP="00602E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nl-NL" w:vendorID="64" w:dllVersion="0" w:nlCheck="1" w:checkStyle="0"/>
  <w:activeWritingStyle w:appName="MSWord" w:lang="en-US" w:vendorID="64" w:dllVersion="0" w:nlCheck="1" w:checkStyle="0"/>
  <w:activeWritingStyle w:appName="MSWord" w:lang="en-GB" w:vendorID="64" w:dllVersion="4096"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tDQ3MzA0MrM0tTA0MTJV0lEKTi0uzszPAykwrAUAqFnVDiwAAAA="/>
    <w:docVar w:name="EN.InstantFormat" w:val="&lt;ENInstantFormat&gt;&lt;Enabled&gt;1&lt;/Enabled&gt;&lt;ScanUnformatted&gt;1&lt;/ScanUnformatted&gt;&lt;ScanChanges&gt;1&lt;/ScanChanges&gt;&lt;Suspended&gt;0&lt;/Suspended&gt;&lt;/ENInstantFormat&gt;"/>
    <w:docVar w:name="EN.Layout" w:val="&lt;ENLayout&gt;&lt;Style&gt;BMJ short journal name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efrsdv5arzf0jes2t5p9z299zxs20v2fw5s&quot;&gt;ARCHIE manuscript&lt;record-ids&gt;&lt;item&gt;1&lt;/item&gt;&lt;item&gt;2&lt;/item&gt;&lt;item&gt;9&lt;/item&gt;&lt;item&gt;11&lt;/item&gt;&lt;item&gt;25&lt;/item&gt;&lt;item&gt;53&lt;/item&gt;&lt;item&gt;58&lt;/item&gt;&lt;item&gt;63&lt;/item&gt;&lt;item&gt;71&lt;/item&gt;&lt;item&gt;72&lt;/item&gt;&lt;item&gt;75&lt;/item&gt;&lt;item&gt;77&lt;/item&gt;&lt;item&gt;78&lt;/item&gt;&lt;item&gt;80&lt;/item&gt;&lt;item&gt;81&lt;/item&gt;&lt;item&gt;87&lt;/item&gt;&lt;item&gt;88&lt;/item&gt;&lt;item&gt;89&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record-ids&gt;&lt;/item&gt;&lt;/Libraries&gt;"/>
  </w:docVars>
  <w:rsids>
    <w:rsidRoot w:val="00251FFF"/>
    <w:rsid w:val="000006D2"/>
    <w:rsid w:val="00002C80"/>
    <w:rsid w:val="00011774"/>
    <w:rsid w:val="00016B86"/>
    <w:rsid w:val="0001719C"/>
    <w:rsid w:val="00021B68"/>
    <w:rsid w:val="00030647"/>
    <w:rsid w:val="00031612"/>
    <w:rsid w:val="00036FF1"/>
    <w:rsid w:val="00042FCC"/>
    <w:rsid w:val="00047916"/>
    <w:rsid w:val="00055D47"/>
    <w:rsid w:val="00056E3A"/>
    <w:rsid w:val="0006214D"/>
    <w:rsid w:val="00062C88"/>
    <w:rsid w:val="000643A3"/>
    <w:rsid w:val="00074C51"/>
    <w:rsid w:val="00074EB9"/>
    <w:rsid w:val="00080776"/>
    <w:rsid w:val="00087989"/>
    <w:rsid w:val="00087F79"/>
    <w:rsid w:val="000900A8"/>
    <w:rsid w:val="0009251C"/>
    <w:rsid w:val="000A31E5"/>
    <w:rsid w:val="000B24FA"/>
    <w:rsid w:val="000B756D"/>
    <w:rsid w:val="000C18C5"/>
    <w:rsid w:val="000C766C"/>
    <w:rsid w:val="000D07FB"/>
    <w:rsid w:val="000D38A2"/>
    <w:rsid w:val="000D65EC"/>
    <w:rsid w:val="000E0A69"/>
    <w:rsid w:val="000E1B4B"/>
    <w:rsid w:val="000E2173"/>
    <w:rsid w:val="000E7028"/>
    <w:rsid w:val="000F0E08"/>
    <w:rsid w:val="000F1D0D"/>
    <w:rsid w:val="000F70A3"/>
    <w:rsid w:val="000F7ABA"/>
    <w:rsid w:val="00103C8B"/>
    <w:rsid w:val="00104C1F"/>
    <w:rsid w:val="00107AD8"/>
    <w:rsid w:val="00111568"/>
    <w:rsid w:val="00111CA3"/>
    <w:rsid w:val="0011363E"/>
    <w:rsid w:val="001150D8"/>
    <w:rsid w:val="00142C40"/>
    <w:rsid w:val="00145185"/>
    <w:rsid w:val="00147BEE"/>
    <w:rsid w:val="001525B0"/>
    <w:rsid w:val="00155083"/>
    <w:rsid w:val="0015548F"/>
    <w:rsid w:val="00162045"/>
    <w:rsid w:val="001635D0"/>
    <w:rsid w:val="00165491"/>
    <w:rsid w:val="00166EA3"/>
    <w:rsid w:val="0017312D"/>
    <w:rsid w:val="0017501D"/>
    <w:rsid w:val="001772C9"/>
    <w:rsid w:val="00191D45"/>
    <w:rsid w:val="00191F19"/>
    <w:rsid w:val="001A5313"/>
    <w:rsid w:val="001B04F2"/>
    <w:rsid w:val="001B6143"/>
    <w:rsid w:val="001E22C8"/>
    <w:rsid w:val="001E6366"/>
    <w:rsid w:val="001F0425"/>
    <w:rsid w:val="001F393D"/>
    <w:rsid w:val="00204914"/>
    <w:rsid w:val="00204AE6"/>
    <w:rsid w:val="002100BC"/>
    <w:rsid w:val="0021070C"/>
    <w:rsid w:val="00210855"/>
    <w:rsid w:val="00234FCB"/>
    <w:rsid w:val="00240C7E"/>
    <w:rsid w:val="00243E7F"/>
    <w:rsid w:val="00244811"/>
    <w:rsid w:val="00250426"/>
    <w:rsid w:val="00251FFF"/>
    <w:rsid w:val="00252F27"/>
    <w:rsid w:val="00263801"/>
    <w:rsid w:val="00264F80"/>
    <w:rsid w:val="00266692"/>
    <w:rsid w:val="00281076"/>
    <w:rsid w:val="00284CE7"/>
    <w:rsid w:val="00286353"/>
    <w:rsid w:val="00290D8C"/>
    <w:rsid w:val="00292666"/>
    <w:rsid w:val="00293EF1"/>
    <w:rsid w:val="00297C86"/>
    <w:rsid w:val="002B0366"/>
    <w:rsid w:val="002C1E9B"/>
    <w:rsid w:val="002D2B0C"/>
    <w:rsid w:val="002D3E37"/>
    <w:rsid w:val="002E2F3F"/>
    <w:rsid w:val="002E2FB8"/>
    <w:rsid w:val="002E3A40"/>
    <w:rsid w:val="002F40BB"/>
    <w:rsid w:val="002F451F"/>
    <w:rsid w:val="002F5971"/>
    <w:rsid w:val="002F699A"/>
    <w:rsid w:val="002F6E4E"/>
    <w:rsid w:val="00300526"/>
    <w:rsid w:val="003025B1"/>
    <w:rsid w:val="00302834"/>
    <w:rsid w:val="00303111"/>
    <w:rsid w:val="0030660F"/>
    <w:rsid w:val="00307E6F"/>
    <w:rsid w:val="00310531"/>
    <w:rsid w:val="00317965"/>
    <w:rsid w:val="0032294C"/>
    <w:rsid w:val="0032526A"/>
    <w:rsid w:val="0032558C"/>
    <w:rsid w:val="003279A2"/>
    <w:rsid w:val="00330FAC"/>
    <w:rsid w:val="00337923"/>
    <w:rsid w:val="00341E27"/>
    <w:rsid w:val="00341F76"/>
    <w:rsid w:val="00346355"/>
    <w:rsid w:val="003465B9"/>
    <w:rsid w:val="00346740"/>
    <w:rsid w:val="00352BD0"/>
    <w:rsid w:val="00355677"/>
    <w:rsid w:val="003615B6"/>
    <w:rsid w:val="00362CCD"/>
    <w:rsid w:val="00363F91"/>
    <w:rsid w:val="0036520D"/>
    <w:rsid w:val="00371326"/>
    <w:rsid w:val="003739BD"/>
    <w:rsid w:val="00382F4A"/>
    <w:rsid w:val="00384932"/>
    <w:rsid w:val="0038783A"/>
    <w:rsid w:val="00392ABB"/>
    <w:rsid w:val="003934E4"/>
    <w:rsid w:val="003970B1"/>
    <w:rsid w:val="003B7F9C"/>
    <w:rsid w:val="003C270E"/>
    <w:rsid w:val="003C3897"/>
    <w:rsid w:val="003D4BBB"/>
    <w:rsid w:val="003D75CB"/>
    <w:rsid w:val="003D7FC6"/>
    <w:rsid w:val="003F0E4B"/>
    <w:rsid w:val="003F418F"/>
    <w:rsid w:val="003F55A7"/>
    <w:rsid w:val="003F6067"/>
    <w:rsid w:val="00406E98"/>
    <w:rsid w:val="00407092"/>
    <w:rsid w:val="00407886"/>
    <w:rsid w:val="00411B02"/>
    <w:rsid w:val="004126B7"/>
    <w:rsid w:val="00415CF9"/>
    <w:rsid w:val="00430584"/>
    <w:rsid w:val="0044265B"/>
    <w:rsid w:val="004444BA"/>
    <w:rsid w:val="004547CF"/>
    <w:rsid w:val="00460239"/>
    <w:rsid w:val="00461854"/>
    <w:rsid w:val="00464EBE"/>
    <w:rsid w:val="004706E3"/>
    <w:rsid w:val="004709F4"/>
    <w:rsid w:val="004727BD"/>
    <w:rsid w:val="0047650F"/>
    <w:rsid w:val="00481F4F"/>
    <w:rsid w:val="00482574"/>
    <w:rsid w:val="0048393B"/>
    <w:rsid w:val="00485524"/>
    <w:rsid w:val="00485F6B"/>
    <w:rsid w:val="00487BFC"/>
    <w:rsid w:val="004A0121"/>
    <w:rsid w:val="004A40AF"/>
    <w:rsid w:val="004A4A46"/>
    <w:rsid w:val="004B0B84"/>
    <w:rsid w:val="004B0DBD"/>
    <w:rsid w:val="004D08BC"/>
    <w:rsid w:val="004D7F6F"/>
    <w:rsid w:val="004E0F77"/>
    <w:rsid w:val="004E2004"/>
    <w:rsid w:val="004E2F08"/>
    <w:rsid w:val="004E58A9"/>
    <w:rsid w:val="004E73F7"/>
    <w:rsid w:val="004F70C7"/>
    <w:rsid w:val="004F7237"/>
    <w:rsid w:val="00500390"/>
    <w:rsid w:val="00501DED"/>
    <w:rsid w:val="00515148"/>
    <w:rsid w:val="005214C7"/>
    <w:rsid w:val="00522358"/>
    <w:rsid w:val="00523ACC"/>
    <w:rsid w:val="00533FB3"/>
    <w:rsid w:val="00544E3E"/>
    <w:rsid w:val="00551A27"/>
    <w:rsid w:val="00562A56"/>
    <w:rsid w:val="00567C3F"/>
    <w:rsid w:val="005801BB"/>
    <w:rsid w:val="00582FC8"/>
    <w:rsid w:val="00584C3C"/>
    <w:rsid w:val="00585B72"/>
    <w:rsid w:val="00586B4B"/>
    <w:rsid w:val="00594A09"/>
    <w:rsid w:val="00594CD7"/>
    <w:rsid w:val="0059567E"/>
    <w:rsid w:val="005A3C00"/>
    <w:rsid w:val="005A61B4"/>
    <w:rsid w:val="005B6784"/>
    <w:rsid w:val="005B73B0"/>
    <w:rsid w:val="005C3F7E"/>
    <w:rsid w:val="005D0489"/>
    <w:rsid w:val="005D1373"/>
    <w:rsid w:val="005D423C"/>
    <w:rsid w:val="005D4AD3"/>
    <w:rsid w:val="005D5DCC"/>
    <w:rsid w:val="005D7A8D"/>
    <w:rsid w:val="005E2E8A"/>
    <w:rsid w:val="005F30F9"/>
    <w:rsid w:val="005F45E7"/>
    <w:rsid w:val="005F5542"/>
    <w:rsid w:val="005F6E98"/>
    <w:rsid w:val="005F7205"/>
    <w:rsid w:val="00600D43"/>
    <w:rsid w:val="0060246A"/>
    <w:rsid w:val="00602EC4"/>
    <w:rsid w:val="00617558"/>
    <w:rsid w:val="00620D4D"/>
    <w:rsid w:val="006302E3"/>
    <w:rsid w:val="00633411"/>
    <w:rsid w:val="006356CC"/>
    <w:rsid w:val="00637138"/>
    <w:rsid w:val="00643976"/>
    <w:rsid w:val="00646315"/>
    <w:rsid w:val="00662917"/>
    <w:rsid w:val="00670A32"/>
    <w:rsid w:val="00677523"/>
    <w:rsid w:val="00682841"/>
    <w:rsid w:val="00682D69"/>
    <w:rsid w:val="00686DD5"/>
    <w:rsid w:val="00692E39"/>
    <w:rsid w:val="006A00DD"/>
    <w:rsid w:val="006A202D"/>
    <w:rsid w:val="006A43DB"/>
    <w:rsid w:val="006A75DE"/>
    <w:rsid w:val="006B3B00"/>
    <w:rsid w:val="006B472A"/>
    <w:rsid w:val="006B4E8A"/>
    <w:rsid w:val="006B5E42"/>
    <w:rsid w:val="006B66B3"/>
    <w:rsid w:val="006B7D05"/>
    <w:rsid w:val="006C0241"/>
    <w:rsid w:val="006C07A5"/>
    <w:rsid w:val="006C1374"/>
    <w:rsid w:val="006D6610"/>
    <w:rsid w:val="006D766C"/>
    <w:rsid w:val="006E6E85"/>
    <w:rsid w:val="006F0205"/>
    <w:rsid w:val="006F129F"/>
    <w:rsid w:val="006F1BB4"/>
    <w:rsid w:val="006F504C"/>
    <w:rsid w:val="007019C8"/>
    <w:rsid w:val="0071418E"/>
    <w:rsid w:val="00714554"/>
    <w:rsid w:val="0071661E"/>
    <w:rsid w:val="007166E1"/>
    <w:rsid w:val="00721198"/>
    <w:rsid w:val="007229A4"/>
    <w:rsid w:val="00726B08"/>
    <w:rsid w:val="00730638"/>
    <w:rsid w:val="00731F90"/>
    <w:rsid w:val="0073639B"/>
    <w:rsid w:val="0074355E"/>
    <w:rsid w:val="00744E65"/>
    <w:rsid w:val="00745B02"/>
    <w:rsid w:val="00747710"/>
    <w:rsid w:val="00750E64"/>
    <w:rsid w:val="007545EC"/>
    <w:rsid w:val="00763203"/>
    <w:rsid w:val="00770B75"/>
    <w:rsid w:val="00771A2A"/>
    <w:rsid w:val="00777785"/>
    <w:rsid w:val="00790981"/>
    <w:rsid w:val="00792C2D"/>
    <w:rsid w:val="007936A8"/>
    <w:rsid w:val="007A6740"/>
    <w:rsid w:val="007B155F"/>
    <w:rsid w:val="007B32F9"/>
    <w:rsid w:val="007B39CE"/>
    <w:rsid w:val="007B49BD"/>
    <w:rsid w:val="007C1921"/>
    <w:rsid w:val="007C6494"/>
    <w:rsid w:val="007C7F2D"/>
    <w:rsid w:val="007D5EB9"/>
    <w:rsid w:val="007D60C7"/>
    <w:rsid w:val="007D79ED"/>
    <w:rsid w:val="007E3845"/>
    <w:rsid w:val="007E5727"/>
    <w:rsid w:val="007E5960"/>
    <w:rsid w:val="007E6963"/>
    <w:rsid w:val="007F105C"/>
    <w:rsid w:val="007F3D02"/>
    <w:rsid w:val="00802D72"/>
    <w:rsid w:val="00804C81"/>
    <w:rsid w:val="00807784"/>
    <w:rsid w:val="008103E7"/>
    <w:rsid w:val="0081199E"/>
    <w:rsid w:val="00815BFA"/>
    <w:rsid w:val="00821E24"/>
    <w:rsid w:val="008222C2"/>
    <w:rsid w:val="0082503F"/>
    <w:rsid w:val="00836EF8"/>
    <w:rsid w:val="00847F64"/>
    <w:rsid w:val="00854CAD"/>
    <w:rsid w:val="00860147"/>
    <w:rsid w:val="0086451A"/>
    <w:rsid w:val="00864AB6"/>
    <w:rsid w:val="00871C7D"/>
    <w:rsid w:val="0087265F"/>
    <w:rsid w:val="008818E0"/>
    <w:rsid w:val="0088286B"/>
    <w:rsid w:val="00891A2B"/>
    <w:rsid w:val="008A0883"/>
    <w:rsid w:val="008A3FE7"/>
    <w:rsid w:val="008A4CBD"/>
    <w:rsid w:val="008A5CD1"/>
    <w:rsid w:val="008B3643"/>
    <w:rsid w:val="008B4BEB"/>
    <w:rsid w:val="008C0778"/>
    <w:rsid w:val="008C368C"/>
    <w:rsid w:val="008C39B9"/>
    <w:rsid w:val="008C4393"/>
    <w:rsid w:val="008D400C"/>
    <w:rsid w:val="008D6A41"/>
    <w:rsid w:val="008E2402"/>
    <w:rsid w:val="008E636C"/>
    <w:rsid w:val="008F7C24"/>
    <w:rsid w:val="0090184D"/>
    <w:rsid w:val="00907174"/>
    <w:rsid w:val="0091670A"/>
    <w:rsid w:val="009248F4"/>
    <w:rsid w:val="009249F4"/>
    <w:rsid w:val="00925333"/>
    <w:rsid w:val="0092705E"/>
    <w:rsid w:val="009276F6"/>
    <w:rsid w:val="009314AE"/>
    <w:rsid w:val="00932F4B"/>
    <w:rsid w:val="0093357A"/>
    <w:rsid w:val="00942FBB"/>
    <w:rsid w:val="009439ED"/>
    <w:rsid w:val="00952BC0"/>
    <w:rsid w:val="00956CE9"/>
    <w:rsid w:val="0096723F"/>
    <w:rsid w:val="009826DF"/>
    <w:rsid w:val="009834B9"/>
    <w:rsid w:val="00990F7B"/>
    <w:rsid w:val="00993087"/>
    <w:rsid w:val="00996C86"/>
    <w:rsid w:val="009A4217"/>
    <w:rsid w:val="009B41EE"/>
    <w:rsid w:val="009B4382"/>
    <w:rsid w:val="009B687A"/>
    <w:rsid w:val="009B758D"/>
    <w:rsid w:val="009C3F6C"/>
    <w:rsid w:val="009C46F7"/>
    <w:rsid w:val="009D13E3"/>
    <w:rsid w:val="009D7D81"/>
    <w:rsid w:val="009E50E8"/>
    <w:rsid w:val="009E5F77"/>
    <w:rsid w:val="009F27C5"/>
    <w:rsid w:val="009F2CC0"/>
    <w:rsid w:val="009F7AC8"/>
    <w:rsid w:val="00A00DED"/>
    <w:rsid w:val="00A04015"/>
    <w:rsid w:val="00A12519"/>
    <w:rsid w:val="00A20336"/>
    <w:rsid w:val="00A23D10"/>
    <w:rsid w:val="00A23D7B"/>
    <w:rsid w:val="00A25EB4"/>
    <w:rsid w:val="00A2739B"/>
    <w:rsid w:val="00A30B17"/>
    <w:rsid w:val="00A35BA6"/>
    <w:rsid w:val="00A36AFC"/>
    <w:rsid w:val="00A40704"/>
    <w:rsid w:val="00A41AF9"/>
    <w:rsid w:val="00A5214D"/>
    <w:rsid w:val="00A55BFD"/>
    <w:rsid w:val="00A6394D"/>
    <w:rsid w:val="00A66E87"/>
    <w:rsid w:val="00A67D56"/>
    <w:rsid w:val="00A7469D"/>
    <w:rsid w:val="00A746D6"/>
    <w:rsid w:val="00A76B30"/>
    <w:rsid w:val="00A86807"/>
    <w:rsid w:val="00AA0E6E"/>
    <w:rsid w:val="00AA6365"/>
    <w:rsid w:val="00AA7921"/>
    <w:rsid w:val="00AB0054"/>
    <w:rsid w:val="00AB56B7"/>
    <w:rsid w:val="00AC29D8"/>
    <w:rsid w:val="00AC7A92"/>
    <w:rsid w:val="00AD41B0"/>
    <w:rsid w:val="00AD7C92"/>
    <w:rsid w:val="00AE057E"/>
    <w:rsid w:val="00AE19A6"/>
    <w:rsid w:val="00AE5F6E"/>
    <w:rsid w:val="00AF2E66"/>
    <w:rsid w:val="00B078BE"/>
    <w:rsid w:val="00B105D6"/>
    <w:rsid w:val="00B147F4"/>
    <w:rsid w:val="00B16B96"/>
    <w:rsid w:val="00B17D6F"/>
    <w:rsid w:val="00B221D1"/>
    <w:rsid w:val="00B22E9A"/>
    <w:rsid w:val="00B242ED"/>
    <w:rsid w:val="00B24BC5"/>
    <w:rsid w:val="00B34D93"/>
    <w:rsid w:val="00B3544D"/>
    <w:rsid w:val="00B426EF"/>
    <w:rsid w:val="00B47F2F"/>
    <w:rsid w:val="00B56F66"/>
    <w:rsid w:val="00B82537"/>
    <w:rsid w:val="00B92630"/>
    <w:rsid w:val="00B938A1"/>
    <w:rsid w:val="00B94102"/>
    <w:rsid w:val="00BA39F1"/>
    <w:rsid w:val="00BB733E"/>
    <w:rsid w:val="00BC30A2"/>
    <w:rsid w:val="00BC5F9E"/>
    <w:rsid w:val="00BD1DB4"/>
    <w:rsid w:val="00BD2D3A"/>
    <w:rsid w:val="00BE68B2"/>
    <w:rsid w:val="00BE6FD5"/>
    <w:rsid w:val="00BF2062"/>
    <w:rsid w:val="00BF76DD"/>
    <w:rsid w:val="00C02504"/>
    <w:rsid w:val="00C0314A"/>
    <w:rsid w:val="00C06B11"/>
    <w:rsid w:val="00C071AB"/>
    <w:rsid w:val="00C14676"/>
    <w:rsid w:val="00C16534"/>
    <w:rsid w:val="00C20DC8"/>
    <w:rsid w:val="00C36029"/>
    <w:rsid w:val="00C37A9F"/>
    <w:rsid w:val="00C40A19"/>
    <w:rsid w:val="00C40AA6"/>
    <w:rsid w:val="00C44F7A"/>
    <w:rsid w:val="00C51C6C"/>
    <w:rsid w:val="00C540EE"/>
    <w:rsid w:val="00C56279"/>
    <w:rsid w:val="00C63557"/>
    <w:rsid w:val="00C658CE"/>
    <w:rsid w:val="00C67B21"/>
    <w:rsid w:val="00C74437"/>
    <w:rsid w:val="00C832F5"/>
    <w:rsid w:val="00C84A07"/>
    <w:rsid w:val="00C84FED"/>
    <w:rsid w:val="00C87D3F"/>
    <w:rsid w:val="00C92BAD"/>
    <w:rsid w:val="00CA0CC5"/>
    <w:rsid w:val="00CA5E3C"/>
    <w:rsid w:val="00CA7A19"/>
    <w:rsid w:val="00CB28B4"/>
    <w:rsid w:val="00CB4255"/>
    <w:rsid w:val="00CB56D6"/>
    <w:rsid w:val="00CB6F23"/>
    <w:rsid w:val="00CB71A2"/>
    <w:rsid w:val="00CC3B32"/>
    <w:rsid w:val="00CC6111"/>
    <w:rsid w:val="00CD19C8"/>
    <w:rsid w:val="00CD1F08"/>
    <w:rsid w:val="00CD30EA"/>
    <w:rsid w:val="00CD3C0B"/>
    <w:rsid w:val="00CD5EC1"/>
    <w:rsid w:val="00CD7D8C"/>
    <w:rsid w:val="00CE1951"/>
    <w:rsid w:val="00CE21C3"/>
    <w:rsid w:val="00CE643A"/>
    <w:rsid w:val="00CE7FBB"/>
    <w:rsid w:val="00CF0545"/>
    <w:rsid w:val="00CF3BA0"/>
    <w:rsid w:val="00D01CFD"/>
    <w:rsid w:val="00D05F8E"/>
    <w:rsid w:val="00D1039D"/>
    <w:rsid w:val="00D110D3"/>
    <w:rsid w:val="00D11950"/>
    <w:rsid w:val="00D12F68"/>
    <w:rsid w:val="00D143C5"/>
    <w:rsid w:val="00D269D1"/>
    <w:rsid w:val="00D3017A"/>
    <w:rsid w:val="00D4182F"/>
    <w:rsid w:val="00D45B46"/>
    <w:rsid w:val="00D51523"/>
    <w:rsid w:val="00D5450C"/>
    <w:rsid w:val="00D555F6"/>
    <w:rsid w:val="00D610B0"/>
    <w:rsid w:val="00D62ABC"/>
    <w:rsid w:val="00D6332F"/>
    <w:rsid w:val="00D715B2"/>
    <w:rsid w:val="00D729DB"/>
    <w:rsid w:val="00D74948"/>
    <w:rsid w:val="00D818FD"/>
    <w:rsid w:val="00D957F2"/>
    <w:rsid w:val="00D964FF"/>
    <w:rsid w:val="00DA3216"/>
    <w:rsid w:val="00DB05AF"/>
    <w:rsid w:val="00DB3C72"/>
    <w:rsid w:val="00DC1F5D"/>
    <w:rsid w:val="00DC23FA"/>
    <w:rsid w:val="00DC29AF"/>
    <w:rsid w:val="00DC6C25"/>
    <w:rsid w:val="00DD6E84"/>
    <w:rsid w:val="00DF46C1"/>
    <w:rsid w:val="00DF5357"/>
    <w:rsid w:val="00E006E4"/>
    <w:rsid w:val="00E00998"/>
    <w:rsid w:val="00E0563D"/>
    <w:rsid w:val="00E07D5E"/>
    <w:rsid w:val="00E1717E"/>
    <w:rsid w:val="00E221B2"/>
    <w:rsid w:val="00E22809"/>
    <w:rsid w:val="00E22F39"/>
    <w:rsid w:val="00E22FB9"/>
    <w:rsid w:val="00E23840"/>
    <w:rsid w:val="00E25B1E"/>
    <w:rsid w:val="00E32F6F"/>
    <w:rsid w:val="00E41486"/>
    <w:rsid w:val="00E41E07"/>
    <w:rsid w:val="00E45532"/>
    <w:rsid w:val="00E5030D"/>
    <w:rsid w:val="00E54D19"/>
    <w:rsid w:val="00E6079D"/>
    <w:rsid w:val="00E6180F"/>
    <w:rsid w:val="00E715D0"/>
    <w:rsid w:val="00E727AB"/>
    <w:rsid w:val="00E76373"/>
    <w:rsid w:val="00E76CBF"/>
    <w:rsid w:val="00E81D1C"/>
    <w:rsid w:val="00E82BD7"/>
    <w:rsid w:val="00E83F13"/>
    <w:rsid w:val="00E90988"/>
    <w:rsid w:val="00E96ABA"/>
    <w:rsid w:val="00EA254C"/>
    <w:rsid w:val="00EA4CC6"/>
    <w:rsid w:val="00EA56D7"/>
    <w:rsid w:val="00EB7583"/>
    <w:rsid w:val="00EC10D5"/>
    <w:rsid w:val="00EC6176"/>
    <w:rsid w:val="00ED2BFC"/>
    <w:rsid w:val="00EE1346"/>
    <w:rsid w:val="00EE7E0A"/>
    <w:rsid w:val="00EF07AA"/>
    <w:rsid w:val="00EF19BD"/>
    <w:rsid w:val="00EF23E0"/>
    <w:rsid w:val="00F14669"/>
    <w:rsid w:val="00F15D8D"/>
    <w:rsid w:val="00F2378C"/>
    <w:rsid w:val="00F24CFC"/>
    <w:rsid w:val="00F25FAE"/>
    <w:rsid w:val="00F260DA"/>
    <w:rsid w:val="00F26FEB"/>
    <w:rsid w:val="00F31E64"/>
    <w:rsid w:val="00F444BB"/>
    <w:rsid w:val="00F45DB5"/>
    <w:rsid w:val="00F47D92"/>
    <w:rsid w:val="00F51980"/>
    <w:rsid w:val="00F541CF"/>
    <w:rsid w:val="00F73CE2"/>
    <w:rsid w:val="00F757F0"/>
    <w:rsid w:val="00F76F5F"/>
    <w:rsid w:val="00F832E3"/>
    <w:rsid w:val="00F833CD"/>
    <w:rsid w:val="00F96080"/>
    <w:rsid w:val="00FA0776"/>
    <w:rsid w:val="00FA1323"/>
    <w:rsid w:val="00FA4D20"/>
    <w:rsid w:val="00FA6D0F"/>
    <w:rsid w:val="00FB305F"/>
    <w:rsid w:val="00FB3473"/>
    <w:rsid w:val="00FB6FDB"/>
    <w:rsid w:val="00FD0962"/>
    <w:rsid w:val="00FD6C0B"/>
    <w:rsid w:val="00FE2191"/>
    <w:rsid w:val="00FE2C11"/>
    <w:rsid w:val="00FE39AD"/>
    <w:rsid w:val="00FE408C"/>
    <w:rsid w:val="00FE78B1"/>
    <w:rsid w:val="00FF0C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24A93"/>
  <w15:chartTrackingRefBased/>
  <w15:docId w15:val="{965CBA9D-5B1F-4970-9B13-D1DECE339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70A3"/>
    <w:rPr>
      <w:rFonts w:ascii="Times New Roman" w:eastAsia="Times New Roman" w:hAnsi="Times New Roman" w:cs="Times New Roman"/>
    </w:rPr>
  </w:style>
  <w:style w:type="paragraph" w:styleId="Heading1">
    <w:name w:val="heading 1"/>
    <w:basedOn w:val="Normal"/>
    <w:next w:val="Normal"/>
    <w:link w:val="Heading1Char"/>
    <w:qFormat/>
    <w:rsid w:val="002E3A40"/>
    <w:pPr>
      <w:keepNext/>
      <w:keepLines/>
      <w:spacing w:before="240"/>
      <w:outlineLvl w:val="0"/>
    </w:pPr>
    <w:rPr>
      <w:rFonts w:ascii="Calibri Light" w:eastAsia="DengXian Light" w:hAnsi="Calibri Light"/>
      <w:color w:val="2E74B5"/>
      <w:sz w:val="32"/>
      <w:szCs w:val="32"/>
    </w:rPr>
  </w:style>
  <w:style w:type="paragraph" w:styleId="Heading2">
    <w:name w:val="heading 2"/>
    <w:basedOn w:val="Normal"/>
    <w:next w:val="Normal"/>
    <w:link w:val="Heading2Char"/>
    <w:unhideWhenUsed/>
    <w:qFormat/>
    <w:rsid w:val="00243E7F"/>
    <w:pPr>
      <w:keepNext/>
      <w:keepLines/>
      <w:spacing w:before="40"/>
      <w:outlineLvl w:val="1"/>
    </w:pPr>
    <w:rPr>
      <w:rFonts w:ascii="Calibri Light" w:eastAsia="DengXian Light" w:hAnsi="Calibri Light"/>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E3A40"/>
    <w:rPr>
      <w:rFonts w:ascii="Calibri Light" w:eastAsia="DengXian Light" w:hAnsi="Calibri Light" w:cs="Times New Roman"/>
      <w:color w:val="2E74B5"/>
      <w:sz w:val="32"/>
      <w:szCs w:val="32"/>
    </w:rPr>
  </w:style>
  <w:style w:type="paragraph" w:styleId="ListParagraph">
    <w:name w:val="List Paragraph"/>
    <w:basedOn w:val="Normal"/>
    <w:qFormat/>
    <w:rsid w:val="002E3A40"/>
    <w:pPr>
      <w:ind w:left="720"/>
      <w:contextualSpacing/>
    </w:pPr>
  </w:style>
  <w:style w:type="paragraph" w:styleId="NoSpacing">
    <w:name w:val="No Spacing"/>
    <w:link w:val="NoSpacingChar"/>
    <w:qFormat/>
    <w:rsid w:val="002E3A40"/>
    <w:rPr>
      <w:sz w:val="22"/>
      <w:szCs w:val="22"/>
      <w:lang w:val="en-GB"/>
    </w:rPr>
  </w:style>
  <w:style w:type="character" w:customStyle="1" w:styleId="NoSpacingChar">
    <w:name w:val="No Spacing Char"/>
    <w:basedOn w:val="DefaultParagraphFont"/>
    <w:link w:val="NoSpacing"/>
    <w:rsid w:val="00600D43"/>
  </w:style>
  <w:style w:type="paragraph" w:styleId="NormalWeb">
    <w:name w:val="Normal (Web)"/>
    <w:basedOn w:val="Normal"/>
    <w:unhideWhenUsed/>
    <w:rsid w:val="00600D43"/>
    <w:pPr>
      <w:spacing w:before="100" w:beforeAutospacing="1" w:after="100" w:afterAutospacing="1"/>
    </w:pPr>
    <w:rPr>
      <w:sz w:val="24"/>
      <w:szCs w:val="24"/>
      <w:lang w:eastAsia="en-GB"/>
    </w:rPr>
  </w:style>
  <w:style w:type="paragraph" w:styleId="Footer">
    <w:name w:val="footer"/>
    <w:basedOn w:val="Normal"/>
    <w:link w:val="FooterChar"/>
    <w:unhideWhenUsed/>
    <w:rsid w:val="00600D43"/>
    <w:pPr>
      <w:tabs>
        <w:tab w:val="center" w:pos="4513"/>
        <w:tab w:val="right" w:pos="9026"/>
      </w:tabs>
    </w:pPr>
  </w:style>
  <w:style w:type="character" w:customStyle="1" w:styleId="FooterChar">
    <w:name w:val="Footer Char"/>
    <w:basedOn w:val="DefaultParagraphFont"/>
    <w:link w:val="Footer"/>
    <w:rsid w:val="00600D43"/>
  </w:style>
  <w:style w:type="character" w:styleId="Hyperlink">
    <w:name w:val="Hyperlink"/>
    <w:unhideWhenUsed/>
    <w:rsid w:val="00600D43"/>
    <w:rPr>
      <w:color w:val="0563C1"/>
      <w:u w:val="single"/>
    </w:rPr>
  </w:style>
  <w:style w:type="paragraph" w:styleId="CommentText">
    <w:name w:val="annotation text"/>
    <w:basedOn w:val="Normal"/>
    <w:link w:val="CommentTextChar"/>
    <w:unhideWhenUsed/>
    <w:rsid w:val="00600D43"/>
    <w:pPr>
      <w:spacing w:after="200"/>
    </w:pPr>
  </w:style>
  <w:style w:type="character" w:customStyle="1" w:styleId="CommentTextChar">
    <w:name w:val="Comment Text Char"/>
    <w:link w:val="CommentText"/>
    <w:rsid w:val="00600D43"/>
    <w:rPr>
      <w:sz w:val="20"/>
      <w:szCs w:val="20"/>
    </w:rPr>
  </w:style>
  <w:style w:type="character" w:customStyle="1" w:styleId="BalloonTextChar">
    <w:name w:val="Balloon Text Char"/>
    <w:link w:val="BalloonText"/>
    <w:uiPriority w:val="99"/>
    <w:rsid w:val="000F70A3"/>
    <w:rPr>
      <w:rFonts w:ascii="Times New Roman" w:eastAsia="Times New Roman" w:hAnsi="Times New Roman" w:cs="Times New Roman"/>
      <w:sz w:val="18"/>
      <w:szCs w:val="18"/>
    </w:rPr>
  </w:style>
  <w:style w:type="paragraph" w:styleId="BalloonText">
    <w:name w:val="Balloon Text"/>
    <w:basedOn w:val="Normal"/>
    <w:link w:val="BalloonTextChar"/>
    <w:uiPriority w:val="99"/>
    <w:rsid w:val="000F70A3"/>
    <w:rPr>
      <w:sz w:val="18"/>
      <w:szCs w:val="18"/>
    </w:rPr>
  </w:style>
  <w:style w:type="paragraph" w:styleId="CommentSubject">
    <w:name w:val="annotation subject"/>
    <w:basedOn w:val="CommentText"/>
    <w:next w:val="CommentText"/>
    <w:link w:val="CommentSubjectChar"/>
    <w:unhideWhenUsed/>
    <w:rsid w:val="00600D43"/>
    <w:pPr>
      <w:spacing w:after="160"/>
    </w:pPr>
    <w:rPr>
      <w:b/>
      <w:bCs/>
    </w:rPr>
  </w:style>
  <w:style w:type="character" w:customStyle="1" w:styleId="CommentSubjectChar">
    <w:name w:val="Comment Subject Char"/>
    <w:link w:val="CommentSubject"/>
    <w:rsid w:val="00600D43"/>
    <w:rPr>
      <w:b/>
      <w:bCs/>
      <w:sz w:val="20"/>
      <w:szCs w:val="20"/>
    </w:rPr>
  </w:style>
  <w:style w:type="paragraph" w:customStyle="1" w:styleId="EndNoteBibliographyTitle">
    <w:name w:val="EndNote Bibliography Title"/>
    <w:basedOn w:val="Normal"/>
    <w:link w:val="EndNoteBibliographyTitleChar"/>
    <w:rsid w:val="00600D43"/>
    <w:pPr>
      <w:jc w:val="center"/>
    </w:pPr>
    <w:rPr>
      <w:rFonts w:ascii="Calibri" w:hAnsi="Calibri" w:cs="Calibri"/>
      <w:noProof/>
    </w:rPr>
  </w:style>
  <w:style w:type="character" w:customStyle="1" w:styleId="EndNoteBibliographyTitleChar">
    <w:name w:val="EndNote Bibliography Title Char"/>
    <w:link w:val="EndNoteBibliographyTitle"/>
    <w:rsid w:val="00600D43"/>
    <w:rPr>
      <w:rFonts w:ascii="Calibri" w:hAnsi="Calibri" w:cs="Calibri"/>
      <w:noProof/>
      <w:lang w:val="en-US"/>
    </w:rPr>
  </w:style>
  <w:style w:type="paragraph" w:customStyle="1" w:styleId="EndNoteBibliography">
    <w:name w:val="EndNote Bibliography"/>
    <w:basedOn w:val="Normal"/>
    <w:link w:val="EndNoteBibliographyChar"/>
    <w:rsid w:val="00600D43"/>
    <w:rPr>
      <w:rFonts w:ascii="Calibri" w:hAnsi="Calibri" w:cs="Calibri"/>
      <w:noProof/>
    </w:rPr>
  </w:style>
  <w:style w:type="character" w:customStyle="1" w:styleId="EndNoteBibliographyChar">
    <w:name w:val="EndNote Bibliography Char"/>
    <w:link w:val="EndNoteBibliography"/>
    <w:rsid w:val="00600D43"/>
    <w:rPr>
      <w:rFonts w:ascii="Calibri" w:hAnsi="Calibri" w:cs="Calibri"/>
      <w:noProof/>
      <w:lang w:val="en-US"/>
    </w:rPr>
  </w:style>
  <w:style w:type="paragraph" w:styleId="Header">
    <w:name w:val="header"/>
    <w:basedOn w:val="Normal"/>
    <w:link w:val="HeaderChar"/>
    <w:unhideWhenUsed/>
    <w:rsid w:val="00600D43"/>
    <w:pPr>
      <w:tabs>
        <w:tab w:val="center" w:pos="4513"/>
        <w:tab w:val="right" w:pos="9026"/>
      </w:tabs>
    </w:pPr>
  </w:style>
  <w:style w:type="character" w:customStyle="1" w:styleId="HeaderChar">
    <w:name w:val="Header Char"/>
    <w:basedOn w:val="DefaultParagraphFont"/>
    <w:link w:val="Header"/>
    <w:rsid w:val="00600D43"/>
  </w:style>
  <w:style w:type="character" w:customStyle="1" w:styleId="highwire-cite-metadata-journal">
    <w:name w:val="highwire-cite-metadata-journal"/>
    <w:rsid w:val="00600D43"/>
  </w:style>
  <w:style w:type="character" w:customStyle="1" w:styleId="highwire-cite-metadata-year">
    <w:name w:val="highwire-cite-metadata-year"/>
    <w:rsid w:val="00600D43"/>
  </w:style>
  <w:style w:type="character" w:customStyle="1" w:styleId="highwire-cite-metadata-volume">
    <w:name w:val="highwire-cite-metadata-volume"/>
    <w:rsid w:val="00600D43"/>
  </w:style>
  <w:style w:type="character" w:customStyle="1" w:styleId="highwire-cite-metadata-elocation-id">
    <w:name w:val="highwire-cite-metadata-elocation-id"/>
    <w:rsid w:val="00600D43"/>
  </w:style>
  <w:style w:type="character" w:customStyle="1" w:styleId="highwire-cite-metadata-doi">
    <w:name w:val="highwire-cite-metadata-doi"/>
    <w:rsid w:val="00600D43"/>
  </w:style>
  <w:style w:type="character" w:customStyle="1" w:styleId="label">
    <w:name w:val="label"/>
    <w:rsid w:val="00600D43"/>
  </w:style>
  <w:style w:type="paragraph" w:styleId="BodyText">
    <w:name w:val="Body Text"/>
    <w:basedOn w:val="Normal"/>
    <w:link w:val="BodyTextChar"/>
    <w:rsid w:val="00600D43"/>
    <w:rPr>
      <w:sz w:val="24"/>
    </w:rPr>
  </w:style>
  <w:style w:type="character" w:customStyle="1" w:styleId="BodyTextChar">
    <w:name w:val="Body Text Char"/>
    <w:link w:val="BodyText"/>
    <w:rsid w:val="00600D43"/>
    <w:rPr>
      <w:rFonts w:ascii="Times New Roman" w:eastAsia="Times New Roman" w:hAnsi="Times New Roman" w:cs="Times New Roman"/>
      <w:sz w:val="24"/>
      <w:szCs w:val="20"/>
      <w:lang w:val="en-US"/>
    </w:rPr>
  </w:style>
  <w:style w:type="table" w:styleId="TableGrid">
    <w:name w:val="Table Grid"/>
    <w:basedOn w:val="TableNormal"/>
    <w:rsid w:val="00600D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wire-cite-metadata-date">
    <w:name w:val="highwire-cite-metadata-date"/>
    <w:basedOn w:val="DefaultParagraphFont"/>
    <w:rsid w:val="00600D43"/>
  </w:style>
  <w:style w:type="character" w:customStyle="1" w:styleId="highwire-cite-metadata-issue">
    <w:name w:val="highwire-cite-metadata-issue"/>
    <w:basedOn w:val="DefaultParagraphFont"/>
    <w:rsid w:val="00600D43"/>
  </w:style>
  <w:style w:type="character" w:customStyle="1" w:styleId="highwire-cite-metadata-pages">
    <w:name w:val="highwire-cite-metadata-pages"/>
    <w:basedOn w:val="DefaultParagraphFont"/>
    <w:rsid w:val="00600D43"/>
  </w:style>
  <w:style w:type="character" w:styleId="Emphasis">
    <w:name w:val="Emphasis"/>
    <w:qFormat/>
    <w:rsid w:val="00600D43"/>
    <w:rPr>
      <w:i/>
      <w:iCs/>
    </w:rPr>
  </w:style>
  <w:style w:type="table" w:customStyle="1" w:styleId="TableGrid1">
    <w:name w:val="Table Grid1"/>
    <w:basedOn w:val="TableNormal"/>
    <w:next w:val="TableGrid"/>
    <w:rsid w:val="006B3B0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43E7F"/>
    <w:rPr>
      <w:rFonts w:ascii="Calibri Light" w:eastAsia="DengXian Light" w:hAnsi="Calibri Light" w:cs="Times New Roman"/>
      <w:color w:val="2E74B5"/>
      <w:sz w:val="26"/>
      <w:szCs w:val="26"/>
    </w:rPr>
  </w:style>
  <w:style w:type="paragraph" w:styleId="TOCHeading">
    <w:name w:val="TOC Heading"/>
    <w:basedOn w:val="Heading1"/>
    <w:next w:val="Normal"/>
    <w:unhideWhenUsed/>
    <w:qFormat/>
    <w:rsid w:val="005F7205"/>
    <w:pPr>
      <w:outlineLvl w:val="9"/>
    </w:pPr>
  </w:style>
  <w:style w:type="paragraph" w:styleId="TOC1">
    <w:name w:val="toc 1"/>
    <w:basedOn w:val="Normal"/>
    <w:next w:val="Normal"/>
    <w:autoRedefine/>
    <w:unhideWhenUsed/>
    <w:rsid w:val="005F7205"/>
    <w:pPr>
      <w:spacing w:after="100"/>
    </w:pPr>
  </w:style>
  <w:style w:type="paragraph" w:styleId="TOC2">
    <w:name w:val="toc 2"/>
    <w:basedOn w:val="Normal"/>
    <w:next w:val="Normal"/>
    <w:autoRedefine/>
    <w:unhideWhenUsed/>
    <w:rsid w:val="005F7205"/>
    <w:pPr>
      <w:spacing w:after="100"/>
      <w:ind w:left="220"/>
    </w:pPr>
  </w:style>
  <w:style w:type="paragraph" w:styleId="Caption">
    <w:name w:val="caption"/>
    <w:basedOn w:val="Normal"/>
    <w:next w:val="Normal"/>
    <w:unhideWhenUsed/>
    <w:qFormat/>
    <w:rsid w:val="00482574"/>
    <w:pPr>
      <w:spacing w:after="180"/>
    </w:pPr>
    <w:rPr>
      <w:rFonts w:eastAsia="DengXian"/>
      <w:b/>
      <w:bCs/>
      <w:smallCaps/>
      <w:color w:val="44546A"/>
      <w:spacing w:val="6"/>
      <w:szCs w:val="18"/>
      <w:lang w:eastAsia="en-GB" w:bidi="hi-IN"/>
    </w:rPr>
  </w:style>
  <w:style w:type="character" w:styleId="CommentReference">
    <w:name w:val="annotation reference"/>
    <w:unhideWhenUsed/>
    <w:rsid w:val="00482574"/>
    <w:rPr>
      <w:sz w:val="16"/>
      <w:szCs w:val="16"/>
    </w:rPr>
  </w:style>
  <w:style w:type="paragraph" w:styleId="Bibliography">
    <w:name w:val="Bibliography"/>
    <w:basedOn w:val="Normal"/>
    <w:next w:val="Normal"/>
    <w:unhideWhenUsed/>
    <w:rsid w:val="00482574"/>
    <w:pPr>
      <w:tabs>
        <w:tab w:val="left" w:pos="260"/>
      </w:tabs>
      <w:spacing w:before="120" w:after="240"/>
      <w:ind w:left="264" w:hanging="264"/>
    </w:pPr>
    <w:rPr>
      <w:sz w:val="24"/>
      <w:szCs w:val="24"/>
    </w:rPr>
  </w:style>
  <w:style w:type="character" w:customStyle="1" w:styleId="identifier">
    <w:name w:val="identifier"/>
    <w:basedOn w:val="DefaultParagraphFont"/>
    <w:rsid w:val="00CD19C8"/>
  </w:style>
  <w:style w:type="numbering" w:customStyle="1" w:styleId="NoList1">
    <w:name w:val="No List1"/>
    <w:next w:val="NoList"/>
    <w:unhideWhenUsed/>
    <w:rsid w:val="00CE643A"/>
  </w:style>
  <w:style w:type="character" w:styleId="Strong">
    <w:name w:val="Strong"/>
    <w:qFormat/>
    <w:rsid w:val="00CE643A"/>
    <w:rPr>
      <w:b/>
      <w:bCs/>
    </w:rPr>
  </w:style>
  <w:style w:type="paragraph" w:styleId="EndnoteText">
    <w:name w:val="endnote text"/>
    <w:basedOn w:val="Normal"/>
    <w:link w:val="EndnoteTextChar"/>
    <w:unhideWhenUsed/>
    <w:rsid w:val="00CE643A"/>
  </w:style>
  <w:style w:type="character" w:customStyle="1" w:styleId="EndnoteTextChar">
    <w:name w:val="Endnote Text Char"/>
    <w:link w:val="EndnoteText"/>
    <w:rsid w:val="00CE643A"/>
    <w:rPr>
      <w:sz w:val="20"/>
      <w:szCs w:val="20"/>
    </w:rPr>
  </w:style>
  <w:style w:type="character" w:styleId="EndnoteReference">
    <w:name w:val="endnote reference"/>
    <w:unhideWhenUsed/>
    <w:rsid w:val="00CE643A"/>
    <w:rPr>
      <w:vertAlign w:val="superscript"/>
    </w:rPr>
  </w:style>
  <w:style w:type="paragraph" w:styleId="Revision">
    <w:name w:val="Revision"/>
    <w:hidden/>
    <w:rsid w:val="00CE643A"/>
    <w:rPr>
      <w:sz w:val="22"/>
      <w:szCs w:val="22"/>
      <w:lang w:val="en-GB"/>
    </w:rPr>
  </w:style>
  <w:style w:type="character" w:customStyle="1" w:styleId="docsum-authors">
    <w:name w:val="docsum-authors"/>
    <w:basedOn w:val="DefaultParagraphFont"/>
    <w:rsid w:val="00CE643A"/>
  </w:style>
  <w:style w:type="character" w:customStyle="1" w:styleId="docsum-journal-citation">
    <w:name w:val="docsum-journal-citation"/>
    <w:basedOn w:val="DefaultParagraphFont"/>
    <w:rsid w:val="00CE643A"/>
  </w:style>
  <w:style w:type="character" w:customStyle="1" w:styleId="citation-part">
    <w:name w:val="citation-part"/>
    <w:basedOn w:val="DefaultParagraphFont"/>
    <w:rsid w:val="00CE643A"/>
  </w:style>
  <w:style w:type="character" w:customStyle="1" w:styleId="apple-converted-space">
    <w:name w:val="apple-converted-space"/>
    <w:basedOn w:val="DefaultParagraphFont"/>
    <w:rsid w:val="00CE643A"/>
  </w:style>
  <w:style w:type="character" w:customStyle="1" w:styleId="docsum-pmid">
    <w:name w:val="docsum-pmid"/>
    <w:basedOn w:val="DefaultParagraphFont"/>
    <w:rsid w:val="00CE643A"/>
  </w:style>
  <w:style w:type="character" w:styleId="FollowedHyperlink">
    <w:name w:val="FollowedHyperlink"/>
    <w:unhideWhenUsed/>
    <w:rsid w:val="00CE643A"/>
    <w:rPr>
      <w:color w:val="954F72"/>
      <w:u w:val="single"/>
    </w:rPr>
  </w:style>
  <w:style w:type="character" w:customStyle="1" w:styleId="acopre">
    <w:name w:val="acopre"/>
    <w:basedOn w:val="DefaultParagraphFont"/>
    <w:rsid w:val="00E41E07"/>
  </w:style>
  <w:style w:type="character" w:styleId="HTMLCite">
    <w:name w:val="HTML Cite"/>
    <w:unhideWhenUsed/>
    <w:rsid w:val="00411B02"/>
    <w:rPr>
      <w:i/>
      <w:iCs/>
    </w:rPr>
  </w:style>
  <w:style w:type="table" w:customStyle="1" w:styleId="TableGrid2">
    <w:name w:val="Table Grid2"/>
    <w:basedOn w:val="TableNormal"/>
    <w:next w:val="TableGrid"/>
    <w:rsid w:val="00147BEE"/>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MaintitlePrelimsPrelimsstyles">
    <w:name w:val="1.1 Main title (Prelims) (Prelims styles)"/>
    <w:basedOn w:val="Normal"/>
    <w:next w:val="BasicParagraph"/>
    <w:uiPriority w:val="99"/>
    <w:rsid w:val="000F70A3"/>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0F70A3"/>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0F70A3"/>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0F70A3"/>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0F70A3"/>
    <w:rPr>
      <w:rFonts w:cs="Humanist777BT-RomanB"/>
    </w:rPr>
  </w:style>
  <w:style w:type="paragraph" w:customStyle="1" w:styleId="161TitlepagecompetinginterestsPrelimsstyles">
    <w:name w:val="1.61 Title page competing interests (Prelims styles)"/>
    <w:basedOn w:val="16TitlepagetextPrelimsPrelimsstyles"/>
    <w:uiPriority w:val="99"/>
    <w:rsid w:val="000F70A3"/>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0F70A3"/>
    <w:pPr>
      <w:spacing w:after="60"/>
      <w:ind w:left="0" w:firstLine="0"/>
    </w:pPr>
  </w:style>
  <w:style w:type="paragraph" w:customStyle="1" w:styleId="18TitlepagedoiPrelimsPrelimsstyles">
    <w:name w:val="1.8 Title page doi (Prelims) (Prelims styles)"/>
    <w:basedOn w:val="17TitlepagepubdatePrelimsPrelimsstyles"/>
    <w:uiPriority w:val="99"/>
    <w:rsid w:val="000F70A3"/>
    <w:pPr>
      <w:spacing w:after="0" w:line="240" w:lineRule="atLeast"/>
    </w:pPr>
    <w:rPr>
      <w:sz w:val="20"/>
      <w:szCs w:val="20"/>
    </w:rPr>
  </w:style>
  <w:style w:type="paragraph" w:customStyle="1" w:styleId="151AbstracttitlePrelimsPrelimsstyles">
    <w:name w:val="1.51 Abstract title (Prelims) (Prelims styles)"/>
    <w:basedOn w:val="Normal"/>
    <w:uiPriority w:val="99"/>
    <w:rsid w:val="000F70A3"/>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0F70A3"/>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0F70A3"/>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0F70A3"/>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0F70A3"/>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0F70A3"/>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0F70A3"/>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0F70A3"/>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0F70A3"/>
    <w:pPr>
      <w:spacing w:after="130"/>
      <w:ind w:left="960" w:hanging="960"/>
    </w:pPr>
  </w:style>
  <w:style w:type="paragraph" w:customStyle="1" w:styleId="192AbbreviationslistnotesPrelimsstyles">
    <w:name w:val="1.92 Abbreviations list notes (Prelims styles)"/>
    <w:basedOn w:val="602TextfoTextstylesTextstyles"/>
    <w:uiPriority w:val="99"/>
    <w:rsid w:val="000F70A3"/>
    <w:pPr>
      <w:pageBreakBefore/>
      <w:spacing w:before="260" w:after="0"/>
    </w:pPr>
  </w:style>
  <w:style w:type="paragraph" w:customStyle="1" w:styleId="21ContributortextPrelimsPrelimsstyles">
    <w:name w:val="2.1 Contributor text (Prelims) (Prelims styles)"/>
    <w:basedOn w:val="16TitlepagetextPrelimsPrelimsstyles"/>
    <w:uiPriority w:val="99"/>
    <w:rsid w:val="000F70A3"/>
    <w:pPr>
      <w:spacing w:after="280"/>
      <w:ind w:left="240" w:hanging="240"/>
    </w:pPr>
  </w:style>
  <w:style w:type="paragraph" w:customStyle="1" w:styleId="51AAheadHeadingstyles">
    <w:name w:val="5.1 AA head (Heading styles)"/>
    <w:basedOn w:val="52AheadHeadingsHeadingstyles"/>
    <w:next w:val="52AheadHeadingsHeadingstyles"/>
    <w:uiPriority w:val="99"/>
    <w:rsid w:val="000F70A3"/>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0F70A3"/>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0F70A3"/>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0F70A3"/>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0F70A3"/>
    <w:pPr>
      <w:outlineLvl w:val="4"/>
    </w:pPr>
    <w:rPr>
      <w:rFonts w:cs="Humanist777BT-ItalicB"/>
      <w:i/>
      <w:iCs/>
    </w:rPr>
  </w:style>
  <w:style w:type="paragraph" w:customStyle="1" w:styleId="56EheadHeadingsHeadingstyles">
    <w:name w:val="5.6 E head (Headings) (Heading styles)"/>
    <w:basedOn w:val="602TextfoTextstylesTextstyles"/>
    <w:uiPriority w:val="99"/>
    <w:rsid w:val="000F70A3"/>
  </w:style>
  <w:style w:type="paragraph" w:customStyle="1" w:styleId="57FheadHeadingsHeadingstyles">
    <w:name w:val="5.7 F head (Headings) (Heading styles)"/>
    <w:basedOn w:val="56EheadHeadingsHeadingstyles"/>
    <w:uiPriority w:val="99"/>
    <w:rsid w:val="000F70A3"/>
    <w:rPr>
      <w:i/>
      <w:iCs/>
    </w:rPr>
  </w:style>
  <w:style w:type="paragraph" w:customStyle="1" w:styleId="601TextdropcapTextstylesTextstyles">
    <w:name w:val="6.01 Text (drop cap) (Text styles) (Text styles)"/>
    <w:basedOn w:val="602TextfoTextstylesTextstyles"/>
    <w:next w:val="602TextfoTextstylesTextstyles"/>
    <w:uiPriority w:val="99"/>
    <w:rsid w:val="000F70A3"/>
  </w:style>
  <w:style w:type="paragraph" w:customStyle="1" w:styleId="611BulletlistTextstyles">
    <w:name w:val="6.11 Bullet list (Text styles)"/>
    <w:basedOn w:val="602TextfoTextstylesTextstyles"/>
    <w:next w:val="602TextfoTextstylesTextstyles"/>
    <w:uiPriority w:val="99"/>
    <w:rsid w:val="000F70A3"/>
    <w:pPr>
      <w:spacing w:after="0"/>
      <w:ind w:left="357"/>
    </w:pPr>
  </w:style>
  <w:style w:type="paragraph" w:customStyle="1" w:styleId="612Textbulletlist2ndparaTextstyles">
    <w:name w:val="6.12 Text (bullet list 2nd para) (Text styles)"/>
    <w:basedOn w:val="611BulletlistTextstyles"/>
    <w:uiPriority w:val="99"/>
    <w:rsid w:val="000F70A3"/>
  </w:style>
  <w:style w:type="paragraph" w:customStyle="1" w:styleId="614TextbulletlistlastTextstylesTextstyles">
    <w:name w:val="6.14 Text (bullet list last) (Text styles) (Text styles)"/>
    <w:basedOn w:val="611BulletlistTextstyles"/>
    <w:uiPriority w:val="99"/>
    <w:rsid w:val="000F70A3"/>
    <w:pPr>
      <w:spacing w:after="260"/>
    </w:pPr>
  </w:style>
  <w:style w:type="paragraph" w:customStyle="1" w:styleId="613TextsubbulletlistTextstylesTextstyles">
    <w:name w:val="6.13 Text (sub bullet list) (Text styles) (Text styles)"/>
    <w:basedOn w:val="602TextfoTextstylesTextstyles"/>
    <w:uiPriority w:val="99"/>
    <w:rsid w:val="000F70A3"/>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0F70A3"/>
    <w:pPr>
      <w:spacing w:after="260"/>
    </w:pPr>
  </w:style>
  <w:style w:type="paragraph" w:customStyle="1" w:styleId="615TextsubsubbulletlistTextstylesTextstyles">
    <w:name w:val="6.15 Text (sub sub bullet list) (Text styles) (Text styles)"/>
    <w:basedOn w:val="613TextsubbulletlistTextstylesTextstyles"/>
    <w:uiPriority w:val="99"/>
    <w:rsid w:val="000F70A3"/>
    <w:pPr>
      <w:ind w:left="1080"/>
    </w:pPr>
  </w:style>
  <w:style w:type="paragraph" w:customStyle="1" w:styleId="617TextsubsubbulletlistlastTextstylesTextstyles">
    <w:name w:val="6.17 Text (sub sub bullet list last) (Text styles) (Text styles)"/>
    <w:basedOn w:val="613TextsubbulletlistTextstylesTextstyles"/>
    <w:uiPriority w:val="99"/>
    <w:rsid w:val="000F70A3"/>
    <w:pPr>
      <w:spacing w:after="260"/>
      <w:ind w:left="1080"/>
    </w:pPr>
  </w:style>
  <w:style w:type="paragraph" w:customStyle="1" w:styleId="621TextnumberedlistTextstylesTextstyles">
    <w:name w:val="6.21 Text (numbered list) (Text styles) (Text styles)"/>
    <w:basedOn w:val="602TextfoTextstylesTextstyles"/>
    <w:uiPriority w:val="99"/>
    <w:rsid w:val="000F70A3"/>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0F70A3"/>
    <w:pPr>
      <w:ind w:left="360"/>
    </w:pPr>
  </w:style>
  <w:style w:type="paragraph" w:customStyle="1" w:styleId="6211TextnumberedlistlastTextstylesTextstyles">
    <w:name w:val="6.211 Text (numbered list last) (Text styles) (Text styles)"/>
    <w:basedOn w:val="621TextnumberedlistTextstylesTextstyles"/>
    <w:uiPriority w:val="99"/>
    <w:rsid w:val="000F70A3"/>
    <w:pPr>
      <w:spacing w:after="260"/>
    </w:pPr>
  </w:style>
  <w:style w:type="paragraph" w:customStyle="1" w:styleId="623TextsubnumberedlistTextstylesTextstyles">
    <w:name w:val="6.23 Text (sub numbered list) (Text styles) (Text styles)"/>
    <w:basedOn w:val="621TextnumberedlistTextstylesTextstyles"/>
    <w:uiPriority w:val="99"/>
    <w:rsid w:val="000F70A3"/>
    <w:pPr>
      <w:ind w:left="360"/>
    </w:pPr>
  </w:style>
  <w:style w:type="paragraph" w:customStyle="1" w:styleId="626TextalphalistTextstyles">
    <w:name w:val="6.26 Text (alpha list) (Text styles)"/>
    <w:basedOn w:val="621TextnumberedlistTextstylesTextstyles"/>
    <w:uiPriority w:val="99"/>
    <w:rsid w:val="000F70A3"/>
    <w:pPr>
      <w:tabs>
        <w:tab w:val="clear" w:pos="0"/>
        <w:tab w:val="left" w:pos="360"/>
      </w:tabs>
    </w:pPr>
  </w:style>
  <w:style w:type="paragraph" w:customStyle="1" w:styleId="627TextsubalphalistTextstyles">
    <w:name w:val="6.27 Text (sub alpha list) (Text styles)"/>
    <w:basedOn w:val="626TextalphalistTextstyles"/>
    <w:uiPriority w:val="99"/>
    <w:rsid w:val="000F70A3"/>
    <w:pPr>
      <w:ind w:left="360"/>
    </w:pPr>
  </w:style>
  <w:style w:type="paragraph" w:customStyle="1" w:styleId="628TextalphalistlastTextstyles">
    <w:name w:val="6.28 Text (alpha list last) (Text styles)"/>
    <w:basedOn w:val="626TextalphalistTextstyles"/>
    <w:next w:val="602TextfoTextstylesTextstyles"/>
    <w:uiPriority w:val="99"/>
    <w:rsid w:val="000F70A3"/>
    <w:pPr>
      <w:spacing w:after="240"/>
    </w:pPr>
  </w:style>
  <w:style w:type="paragraph" w:customStyle="1" w:styleId="644TextquoteTextstylesTextstyles">
    <w:name w:val="6.44 Text (quote) (Text styles) (Text styles)"/>
    <w:basedOn w:val="602TextfoTextstylesTextstyles"/>
    <w:uiPriority w:val="99"/>
    <w:rsid w:val="000F70A3"/>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0F70A3"/>
  </w:style>
  <w:style w:type="paragraph" w:customStyle="1" w:styleId="632TextequationTextstylesTextstyles">
    <w:name w:val="6.32 Text (equation) (Text styles) (Text styles)"/>
    <w:basedOn w:val="602TextfoTextstylesTextstyles"/>
    <w:uiPriority w:val="99"/>
    <w:rsid w:val="000F70A3"/>
    <w:pPr>
      <w:tabs>
        <w:tab w:val="right" w:pos="9120"/>
      </w:tabs>
      <w:ind w:left="240"/>
    </w:pPr>
  </w:style>
  <w:style w:type="paragraph" w:customStyle="1" w:styleId="645TextquotewithsourceTextstyles">
    <w:name w:val="6.45 Text (quote with source) (Text styles)"/>
    <w:basedOn w:val="644TextquoteTextstylesTextstyles"/>
    <w:uiPriority w:val="99"/>
    <w:rsid w:val="000F70A3"/>
    <w:pPr>
      <w:spacing w:after="0"/>
    </w:pPr>
  </w:style>
  <w:style w:type="paragraph" w:customStyle="1" w:styleId="646TextquotesourceTextstylesTextstyles">
    <w:name w:val="6.46 Text (quote source) (Text styles) (Text styles)"/>
    <w:basedOn w:val="644TextquoteTextstylesTextstyles"/>
    <w:uiPriority w:val="99"/>
    <w:rsid w:val="000F70A3"/>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0F70A3"/>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0F70A3"/>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0F70A3"/>
    <w:pPr>
      <w:spacing w:after="130"/>
      <w:ind w:left="600" w:hanging="120"/>
    </w:pPr>
  </w:style>
  <w:style w:type="paragraph" w:customStyle="1" w:styleId="690EndnoteTextstylesTextstyles">
    <w:name w:val="6.90 Endnote (Text styles) (Text styles)"/>
    <w:basedOn w:val="602TextfoTextstylesTextstyles"/>
    <w:uiPriority w:val="99"/>
    <w:rsid w:val="000F70A3"/>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0F70A3"/>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0F70A3"/>
    <w:rPr>
      <w:bCs/>
    </w:rPr>
  </w:style>
  <w:style w:type="paragraph" w:customStyle="1" w:styleId="72TabletextTablesTableFigureBoxstyles">
    <w:name w:val="7.2 Table text (Tables) (Table/Figure/Box styles)"/>
    <w:basedOn w:val="Normal"/>
    <w:uiPriority w:val="99"/>
    <w:rsid w:val="000F70A3"/>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0F70A3"/>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0F70A3"/>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0F70A3"/>
  </w:style>
  <w:style w:type="paragraph" w:customStyle="1" w:styleId="710TableheadTablesTableFigureBoxstyles">
    <w:name w:val="7.10 Table head (Tables) (Table/Figure/Box styles)"/>
    <w:basedOn w:val="72TabletextTablesTableFigureBoxstyles"/>
    <w:next w:val="72TabletextTablesTableFigureBoxstyles"/>
    <w:uiPriority w:val="99"/>
    <w:rsid w:val="000F70A3"/>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0F70A3"/>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0F70A3"/>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0F70A3"/>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0F70A3"/>
    <w:rPr>
      <w:rFonts w:cs="Humanist777BT-ItalicB"/>
      <w:bCs w:val="0"/>
      <w:i/>
    </w:rPr>
  </w:style>
  <w:style w:type="paragraph" w:customStyle="1" w:styleId="92BoxtextBoxesTableFigureBoxstyles">
    <w:name w:val="9.2 Box text (Boxes) (Table/Figure/Box styles)"/>
    <w:basedOn w:val="72TabletextTablesTableFigureBoxstyles"/>
    <w:uiPriority w:val="99"/>
    <w:rsid w:val="000F70A3"/>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0F70A3"/>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0F70A3"/>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0F70A3"/>
    <w:pPr>
      <w:spacing w:after="120"/>
    </w:pPr>
  </w:style>
  <w:style w:type="paragraph" w:customStyle="1" w:styleId="922BoxbulletlistBoxesTableFigureBoxstyles">
    <w:name w:val="9.22 Box bullet list (Boxes) (Table/Figure/Box styles)"/>
    <w:basedOn w:val="921BoxnumberedlistBoxesTableFigureBoxstyles"/>
    <w:uiPriority w:val="99"/>
    <w:rsid w:val="000F70A3"/>
    <w:pPr>
      <w:ind w:hanging="240"/>
    </w:pPr>
  </w:style>
  <w:style w:type="paragraph" w:customStyle="1" w:styleId="925BoxbulletlistlastBoxesTableFigureBoxstyles">
    <w:name w:val="9.25 Box bullet list last (Boxes) (Table/Figure/Box styles)"/>
    <w:basedOn w:val="921BoxnumberedlistBoxesTableFigureBoxstyles"/>
    <w:uiPriority w:val="99"/>
    <w:rsid w:val="000F70A3"/>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0F70A3"/>
  </w:style>
  <w:style w:type="paragraph" w:customStyle="1" w:styleId="926BoxalphalistlastBoxesTableFigureBoxstyles">
    <w:name w:val="9.26 Box alpha list last (Boxes) (Table/Figure/Box styles)"/>
    <w:basedOn w:val="921BoxnumberedlistBoxesTableFigureBoxstyles"/>
    <w:uiPriority w:val="99"/>
    <w:rsid w:val="000F70A3"/>
    <w:pPr>
      <w:spacing w:after="120"/>
    </w:pPr>
  </w:style>
  <w:style w:type="paragraph" w:customStyle="1" w:styleId="927BoxquoteBoxesTableFigureBoxstyles">
    <w:name w:val="9.27 Box quote (Boxes) (Table/Figure/Box styles)"/>
    <w:basedOn w:val="92BoxtextBoxesTableFigureBoxstyles"/>
    <w:uiPriority w:val="99"/>
    <w:rsid w:val="000F70A3"/>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0F70A3"/>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0F70A3"/>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0F70A3"/>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0F70A3"/>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0F70A3"/>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0F70A3"/>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0F70A3"/>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0F70A3"/>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0F70A3"/>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0F70A3"/>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0F70A3"/>
    <w:pPr>
      <w:ind w:left="240"/>
    </w:pPr>
  </w:style>
  <w:style w:type="paragraph" w:customStyle="1" w:styleId="75TablenotesTablesTableFigureBoxstyles">
    <w:name w:val="7.5 Table (notes) (Tables) (Table/Figure/Box styles)"/>
    <w:basedOn w:val="74TablenotesheadingTablesTableFigureBoxstyles"/>
    <w:uiPriority w:val="99"/>
    <w:rsid w:val="000F70A3"/>
    <w:pPr>
      <w:spacing w:before="0"/>
      <w:ind w:left="198" w:hanging="198"/>
    </w:pPr>
    <w:rPr>
      <w:rFonts w:ascii="Lato" w:hAnsi="Lato" w:cs="Humanist777BT-LightB"/>
      <w:b w:val="0"/>
    </w:rPr>
  </w:style>
  <w:style w:type="paragraph" w:customStyle="1" w:styleId="BasicParagraph">
    <w:name w:val="[Basic Paragraph]"/>
    <w:basedOn w:val="Normal"/>
    <w:uiPriority w:val="99"/>
    <w:rsid w:val="000F70A3"/>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0F70A3"/>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0F70A3"/>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0F70A3"/>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0F70A3"/>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0F70A3"/>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0F70A3"/>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0F70A3"/>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0F70A3"/>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0F70A3"/>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0F70A3"/>
    <w:pPr>
      <w:spacing w:after="260"/>
      <w:ind w:left="360"/>
    </w:pPr>
  </w:style>
  <w:style w:type="paragraph" w:customStyle="1" w:styleId="634TextsubalphalistlastTextstyles">
    <w:name w:val="6.34 Text (sub alpha list last) (Text styles)"/>
    <w:basedOn w:val="626TextalphalistTextstyles"/>
    <w:uiPriority w:val="99"/>
    <w:rsid w:val="000F70A3"/>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0F70A3"/>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0F70A3"/>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0F70A3"/>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0F70A3"/>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0F70A3"/>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0F70A3"/>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0F70A3"/>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0F70A3"/>
  </w:style>
  <w:style w:type="paragraph" w:customStyle="1" w:styleId="636TextsubsubnumberedlistlastTextstylesTextstyles">
    <w:name w:val="6.36 Text (sub sub numbered list last) (Text styles) (Text styles)"/>
    <w:basedOn w:val="613TextsubbulletlistTextstylesTextstyles"/>
    <w:uiPriority w:val="99"/>
    <w:rsid w:val="000F70A3"/>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0F70A3"/>
    <w:pPr>
      <w:ind w:left="402"/>
    </w:pPr>
  </w:style>
  <w:style w:type="paragraph" w:customStyle="1" w:styleId="6121Textbulletlist2ndparalastTextstyles">
    <w:name w:val="6.121 Text (bullet list 2nd para last) (Text styles)"/>
    <w:basedOn w:val="612Textbulletlist2ndparaTextstyles"/>
    <w:uiPriority w:val="99"/>
    <w:rsid w:val="000F70A3"/>
    <w:pPr>
      <w:spacing w:after="260"/>
    </w:pPr>
  </w:style>
  <w:style w:type="paragraph" w:customStyle="1" w:styleId="6131TextsubbulletlistsolidTextstylesTextstyles">
    <w:name w:val="6.131 Text (sub bullet list solid) (Text styles) (Text styles)"/>
    <w:basedOn w:val="613TextsubbulletlistTextstylesTextstyles"/>
    <w:uiPriority w:val="99"/>
    <w:rsid w:val="000F70A3"/>
  </w:style>
  <w:style w:type="paragraph" w:customStyle="1" w:styleId="6161TextsubbulletlistsolidlastTextstyles">
    <w:name w:val="6.161 Text (sub bullet list solid last) (Text styles)"/>
    <w:basedOn w:val="616TextsubbulletlistlastTextstylesTextstyles"/>
    <w:uiPriority w:val="99"/>
    <w:rsid w:val="000F70A3"/>
  </w:style>
  <w:style w:type="paragraph" w:customStyle="1" w:styleId="713TablesubheadCTablesTableFigureBoxstyles">
    <w:name w:val="7.13 Table subhead C (Tables) (Table/Figure/Box styles)"/>
    <w:basedOn w:val="712TablesubheadBTablesTableFigureBoxstyles"/>
    <w:uiPriority w:val="99"/>
    <w:rsid w:val="000F70A3"/>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0F70A3"/>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0F70A3"/>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0F70A3"/>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0F70A3"/>
    <w:pPr>
      <w:spacing w:after="0"/>
    </w:pPr>
  </w:style>
  <w:style w:type="paragraph" w:customStyle="1" w:styleId="9271BoxquotewithsourceTableFigureBoxstyles">
    <w:name w:val="9.271 Box quote with source (Table/Figure/Box styles)"/>
    <w:basedOn w:val="927BoxquoteBoxesTableFigureBoxstyles"/>
    <w:uiPriority w:val="99"/>
    <w:rsid w:val="000F70A3"/>
    <w:pPr>
      <w:spacing w:after="0"/>
    </w:pPr>
  </w:style>
  <w:style w:type="paragraph" w:customStyle="1" w:styleId="6116Quoteasabulletlistitem-sourceTextstyles">
    <w:name w:val="6.116 Quote as a bullet list item - source (Text styles)"/>
    <w:basedOn w:val="Normal"/>
    <w:uiPriority w:val="99"/>
    <w:rsid w:val="000F70A3"/>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0F70A3"/>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0F70A3"/>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0F70A3"/>
    <w:pPr>
      <w:spacing w:after="260"/>
    </w:pPr>
  </w:style>
  <w:style w:type="paragraph" w:customStyle="1" w:styleId="Normal0">
    <w:name w:val="[Normal]"/>
    <w:rsid w:val="000F70A3"/>
    <w:pPr>
      <w:widowControl w:val="0"/>
      <w:autoSpaceDE w:val="0"/>
      <w:autoSpaceDN w:val="0"/>
      <w:adjustRightInd w:val="0"/>
    </w:pPr>
    <w:rPr>
      <w:rFonts w:ascii="Frutiger LT Pro 55 Roman" w:eastAsia="Times New Roman" w:hAnsi="Frutiger LT Pro 55 Roman"/>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0F70A3"/>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0F70A3"/>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0F70A3"/>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0F70A3"/>
    <w:pPr>
      <w:ind w:left="720"/>
    </w:pPr>
  </w:style>
  <w:style w:type="paragraph" w:customStyle="1" w:styleId="58GHeadHeadingsHeadingstyles">
    <w:name w:val="5.8 G Head (Headings) (Heading styles)"/>
    <w:basedOn w:val="57FheadHeadingsHeadingstyles"/>
    <w:uiPriority w:val="99"/>
    <w:rsid w:val="000F70A3"/>
    <w:rPr>
      <w:i w:val="0"/>
      <w:iCs w:val="0"/>
    </w:rPr>
  </w:style>
  <w:style w:type="paragraph" w:customStyle="1" w:styleId="6212QuoteasanumberedlistitemTextstyles">
    <w:name w:val="6.212 Quote as a numbered list item (Text styles)"/>
    <w:basedOn w:val="621TextnumberedlistTextstylesTextstyles"/>
    <w:uiPriority w:val="99"/>
    <w:rsid w:val="000F70A3"/>
    <w:rPr>
      <w:i/>
    </w:rPr>
  </w:style>
  <w:style w:type="paragraph" w:customStyle="1" w:styleId="625TextsimplelistTextstyles">
    <w:name w:val="6.25 Text (simple list) (Text styles)"/>
    <w:basedOn w:val="626TextalphalistTextstyles"/>
    <w:uiPriority w:val="99"/>
    <w:rsid w:val="000F70A3"/>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0F70A3"/>
    <w:pPr>
      <w:ind w:left="360" w:hanging="120"/>
    </w:pPr>
    <w:rPr>
      <w:lang w:eastAsia="en-GB"/>
    </w:rPr>
  </w:style>
  <w:style w:type="paragraph" w:customStyle="1" w:styleId="647TextquotedbulletlistTextstyles">
    <w:name w:val="6.47 Text (quoted bullet list) (Text styles)"/>
    <w:basedOn w:val="644TextquoteTextstylesTextstyles"/>
    <w:uiPriority w:val="99"/>
    <w:rsid w:val="000F70A3"/>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0F70A3"/>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0F70A3"/>
    <w:pPr>
      <w:spacing w:after="260"/>
    </w:pPr>
  </w:style>
  <w:style w:type="paragraph" w:customStyle="1" w:styleId="648TextquotedbulletlistlastTextstyles">
    <w:name w:val="6.48 Text (quoted bullet list last) (Text styles)"/>
    <w:basedOn w:val="647TextquotedbulletlistTextstyles"/>
    <w:uiPriority w:val="99"/>
    <w:rsid w:val="000F70A3"/>
    <w:pPr>
      <w:spacing w:after="260"/>
    </w:pPr>
  </w:style>
  <w:style w:type="paragraph" w:customStyle="1" w:styleId="642TextquotednumberedlistTextstyles">
    <w:name w:val="6.42 Text (quoted numbered list) (Text styles)"/>
    <w:basedOn w:val="647TextquotedbulletlistTextstyles"/>
    <w:uiPriority w:val="99"/>
    <w:rsid w:val="000F70A3"/>
  </w:style>
  <w:style w:type="paragraph" w:customStyle="1" w:styleId="643TextquotednumberedlistlastTextstyles">
    <w:name w:val="6.43 Text (quoted numbered list last) (Text styles)"/>
    <w:basedOn w:val="642TextquotednumberedlistTextstyles"/>
    <w:uiPriority w:val="99"/>
    <w:rsid w:val="000F70A3"/>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0F70A3"/>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0F70A3"/>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0F70A3"/>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0F70A3"/>
  </w:style>
  <w:style w:type="paragraph" w:customStyle="1" w:styleId="7531TablenotessubalphalistTablesTableFigureBoxstyles">
    <w:name w:val="7.531 Table notes sub alpha list (Tables) (Table/Figure/Box styles)"/>
    <w:basedOn w:val="752TablenotesnumberedlistTablesTableFigureBoxstyles"/>
    <w:uiPriority w:val="99"/>
    <w:rsid w:val="000F70A3"/>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0F70A3"/>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0F70A3"/>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0F70A3"/>
  </w:style>
  <w:style w:type="paragraph" w:customStyle="1" w:styleId="9521BoxnotessubnumberedlistBoxesTableFigureBoxstyles">
    <w:name w:val="9.521 Box notes sub numbered list (Boxes) (Table/Figure/Box styles)"/>
    <w:basedOn w:val="951BoxnotesbulletlistBoxesTableFigureBoxstyles"/>
    <w:uiPriority w:val="99"/>
    <w:rsid w:val="000F70A3"/>
    <w:pPr>
      <w:ind w:left="606"/>
    </w:pPr>
  </w:style>
  <w:style w:type="paragraph" w:customStyle="1" w:styleId="953BoxnotesalphalistBoxesTableFigureBoxstyles">
    <w:name w:val="9.53 Box notes alpha list (Boxes) (Table/Figure/Box styles)"/>
    <w:basedOn w:val="952BoxnotesnumberedlistBoxesTableFigureBoxstyles"/>
    <w:uiPriority w:val="99"/>
    <w:rsid w:val="000F70A3"/>
  </w:style>
  <w:style w:type="paragraph" w:customStyle="1" w:styleId="9531BoxnotessubalphalistBoxesTableFigureBoxstyles">
    <w:name w:val="9.531 Box notes sub alpha list (Boxes) (Table/Figure/Box styles)"/>
    <w:basedOn w:val="952BoxnotesnumberedlistBoxesTableFigureBoxstyles"/>
    <w:uiPriority w:val="99"/>
    <w:rsid w:val="000F70A3"/>
    <w:pPr>
      <w:ind w:left="606"/>
    </w:pPr>
  </w:style>
  <w:style w:type="paragraph" w:customStyle="1" w:styleId="6132TextsubbulletlistnumberedTextstyles">
    <w:name w:val="6.132 Text (sub bullet list numbered) (Text styles)"/>
    <w:basedOn w:val="613TextsubbulletlistTextstylesTextstyles"/>
    <w:uiPriority w:val="99"/>
    <w:rsid w:val="000F70A3"/>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0F70A3"/>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0F70A3"/>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0F70A3"/>
    <w:pPr>
      <w:spacing w:after="120"/>
    </w:pPr>
  </w:style>
  <w:style w:type="paragraph" w:customStyle="1" w:styleId="ToCchaptertitleToCstyles">
    <w:name w:val="ToC chapter title (ToC styles)"/>
    <w:basedOn w:val="Normal"/>
    <w:uiPriority w:val="99"/>
    <w:rsid w:val="000F70A3"/>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0F70A3"/>
    <w:rPr>
      <w:rFonts w:ascii="Lato Black" w:hAnsi="Lato Black" w:cs="Lato Black"/>
    </w:rPr>
  </w:style>
  <w:style w:type="paragraph" w:customStyle="1" w:styleId="ToCAAheadToCstyles">
    <w:name w:val="ToC AA head (ToC styles)"/>
    <w:basedOn w:val="ToCchaptertitleToCstyles"/>
    <w:uiPriority w:val="99"/>
    <w:rsid w:val="000F70A3"/>
    <w:pPr>
      <w:spacing w:before="0"/>
    </w:pPr>
    <w:rPr>
      <w:rFonts w:ascii="Lato Medium" w:hAnsi="Lato Medium" w:cs="Lato Medium"/>
    </w:rPr>
  </w:style>
  <w:style w:type="paragraph" w:customStyle="1" w:styleId="ToCAheadToCstyles">
    <w:name w:val="ToC A head (ToC styles)"/>
    <w:basedOn w:val="ToCchaptertitleToCstyles"/>
    <w:uiPriority w:val="99"/>
    <w:rsid w:val="000F70A3"/>
    <w:pPr>
      <w:spacing w:before="0"/>
    </w:pPr>
  </w:style>
  <w:style w:type="paragraph" w:customStyle="1" w:styleId="ToCappendixToCstyles">
    <w:name w:val="ToC appendix (ToC styles)"/>
    <w:basedOn w:val="ToCchaptertitleToCstyles"/>
    <w:uiPriority w:val="99"/>
    <w:rsid w:val="000F70A3"/>
  </w:style>
  <w:style w:type="paragraph" w:customStyle="1" w:styleId="6214QuoteasanumberedlistitemsourceTextstyles">
    <w:name w:val="6.214 Quote as a numbered list item – source (Text styles)"/>
    <w:basedOn w:val="6121Textbulletlist2ndparalastTextstyles"/>
    <w:uiPriority w:val="99"/>
    <w:rsid w:val="000F70A3"/>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D11950"/>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D11950"/>
    <w:pPr>
      <w:spacing w:after="120"/>
    </w:pPr>
  </w:style>
  <w:style w:type="paragraph" w:customStyle="1" w:styleId="9274BoxquotesubbulletlistTableFigureBoxstyles">
    <w:name w:val="9.274 Box quote sub bullet list (Table/Figure/Box styles)"/>
    <w:basedOn w:val="9272BoxquotebulletlistTableFigureBoxstyles"/>
    <w:rsid w:val="00D11950"/>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D11950"/>
    <w:pPr>
      <w:spacing w:after="120"/>
    </w:pPr>
  </w:style>
  <w:style w:type="paragraph" w:customStyle="1" w:styleId="9276BoxquotenumberedlistTableFigureBoxstyles">
    <w:name w:val="9.276 Box quote numbered list (Table/Figure/Box styles)"/>
    <w:basedOn w:val="9272BoxquotebulletlistTableFigureBoxstyles"/>
    <w:rsid w:val="00D11950"/>
  </w:style>
  <w:style w:type="paragraph" w:customStyle="1" w:styleId="9277BoxquotenumberedlistlastTableFigureBoxstyles">
    <w:name w:val="9.277 Box quote numbered list last  (Table/Figure/Box styles)"/>
    <w:basedOn w:val="9276BoxquotenumberedlistTableFigureBoxstyles"/>
    <w:rsid w:val="00D11950"/>
    <w:pPr>
      <w:spacing w:after="120"/>
    </w:pPr>
  </w:style>
  <w:style w:type="paragraph" w:customStyle="1" w:styleId="9278BoxquotesubnumberedlistTableFigureBoxstyles">
    <w:name w:val="9.278 Box quote sub numbered list (Table/Figure/Box styles)"/>
    <w:basedOn w:val="9276BoxquotenumberedlistTableFigureBoxstyles"/>
    <w:rsid w:val="00D11950"/>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D11950"/>
    <w:pPr>
      <w:spacing w:after="120"/>
    </w:pPr>
  </w:style>
  <w:style w:type="character" w:customStyle="1" w:styleId="BalloonTextChar1">
    <w:name w:val="Balloon Text Char1"/>
    <w:uiPriority w:val="99"/>
    <w:semiHidden/>
    <w:rsid w:val="000F70A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883449">
      <w:bodyDiv w:val="1"/>
      <w:marLeft w:val="0"/>
      <w:marRight w:val="0"/>
      <w:marTop w:val="0"/>
      <w:marBottom w:val="0"/>
      <w:divBdr>
        <w:top w:val="none" w:sz="0" w:space="0" w:color="auto"/>
        <w:left w:val="none" w:sz="0" w:space="0" w:color="auto"/>
        <w:bottom w:val="none" w:sz="0" w:space="0" w:color="auto"/>
        <w:right w:val="none" w:sz="0" w:space="0" w:color="auto"/>
      </w:divBdr>
    </w:div>
    <w:div w:id="277105463">
      <w:bodyDiv w:val="1"/>
      <w:marLeft w:val="0"/>
      <w:marRight w:val="0"/>
      <w:marTop w:val="0"/>
      <w:marBottom w:val="0"/>
      <w:divBdr>
        <w:top w:val="none" w:sz="0" w:space="0" w:color="auto"/>
        <w:left w:val="none" w:sz="0" w:space="0" w:color="auto"/>
        <w:bottom w:val="none" w:sz="0" w:space="0" w:color="auto"/>
        <w:right w:val="none" w:sz="0" w:space="0" w:color="auto"/>
      </w:divBdr>
    </w:div>
    <w:div w:id="512110734">
      <w:bodyDiv w:val="1"/>
      <w:marLeft w:val="0"/>
      <w:marRight w:val="0"/>
      <w:marTop w:val="0"/>
      <w:marBottom w:val="0"/>
      <w:divBdr>
        <w:top w:val="none" w:sz="0" w:space="0" w:color="auto"/>
        <w:left w:val="none" w:sz="0" w:space="0" w:color="auto"/>
        <w:bottom w:val="none" w:sz="0" w:space="0" w:color="auto"/>
        <w:right w:val="none" w:sz="0" w:space="0" w:color="auto"/>
      </w:divBdr>
    </w:div>
    <w:div w:id="552423072">
      <w:bodyDiv w:val="1"/>
      <w:marLeft w:val="0"/>
      <w:marRight w:val="0"/>
      <w:marTop w:val="0"/>
      <w:marBottom w:val="0"/>
      <w:divBdr>
        <w:top w:val="none" w:sz="0" w:space="0" w:color="auto"/>
        <w:left w:val="none" w:sz="0" w:space="0" w:color="auto"/>
        <w:bottom w:val="none" w:sz="0" w:space="0" w:color="auto"/>
        <w:right w:val="none" w:sz="0" w:space="0" w:color="auto"/>
      </w:divBdr>
    </w:div>
    <w:div w:id="666640152">
      <w:bodyDiv w:val="1"/>
      <w:marLeft w:val="0"/>
      <w:marRight w:val="0"/>
      <w:marTop w:val="0"/>
      <w:marBottom w:val="0"/>
      <w:divBdr>
        <w:top w:val="none" w:sz="0" w:space="0" w:color="auto"/>
        <w:left w:val="none" w:sz="0" w:space="0" w:color="auto"/>
        <w:bottom w:val="none" w:sz="0" w:space="0" w:color="auto"/>
        <w:right w:val="none" w:sz="0" w:space="0" w:color="auto"/>
      </w:divBdr>
    </w:div>
    <w:div w:id="988900844">
      <w:bodyDiv w:val="1"/>
      <w:marLeft w:val="0"/>
      <w:marRight w:val="0"/>
      <w:marTop w:val="0"/>
      <w:marBottom w:val="0"/>
      <w:divBdr>
        <w:top w:val="none" w:sz="0" w:space="0" w:color="auto"/>
        <w:left w:val="none" w:sz="0" w:space="0" w:color="auto"/>
        <w:bottom w:val="none" w:sz="0" w:space="0" w:color="auto"/>
        <w:right w:val="none" w:sz="0" w:space="0" w:color="auto"/>
      </w:divBdr>
    </w:div>
    <w:div w:id="1175994598">
      <w:bodyDiv w:val="1"/>
      <w:marLeft w:val="0"/>
      <w:marRight w:val="0"/>
      <w:marTop w:val="0"/>
      <w:marBottom w:val="0"/>
      <w:divBdr>
        <w:top w:val="none" w:sz="0" w:space="0" w:color="auto"/>
        <w:left w:val="none" w:sz="0" w:space="0" w:color="auto"/>
        <w:bottom w:val="none" w:sz="0" w:space="0" w:color="auto"/>
        <w:right w:val="none" w:sz="0" w:space="0" w:color="auto"/>
      </w:divBdr>
    </w:div>
    <w:div w:id="1294169491">
      <w:bodyDiv w:val="1"/>
      <w:marLeft w:val="0"/>
      <w:marRight w:val="0"/>
      <w:marTop w:val="0"/>
      <w:marBottom w:val="0"/>
      <w:divBdr>
        <w:top w:val="none" w:sz="0" w:space="0" w:color="auto"/>
        <w:left w:val="none" w:sz="0" w:space="0" w:color="auto"/>
        <w:bottom w:val="none" w:sz="0" w:space="0" w:color="auto"/>
        <w:right w:val="none" w:sz="0" w:space="0" w:color="auto"/>
      </w:divBdr>
    </w:div>
    <w:div w:id="1471903215">
      <w:bodyDiv w:val="1"/>
      <w:marLeft w:val="0"/>
      <w:marRight w:val="0"/>
      <w:marTop w:val="0"/>
      <w:marBottom w:val="0"/>
      <w:divBdr>
        <w:top w:val="none" w:sz="0" w:space="0" w:color="auto"/>
        <w:left w:val="none" w:sz="0" w:space="0" w:color="auto"/>
        <w:bottom w:val="none" w:sz="0" w:space="0" w:color="auto"/>
        <w:right w:val="none" w:sz="0" w:space="0" w:color="auto"/>
      </w:divBdr>
    </w:div>
    <w:div w:id="187349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12"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25470</Words>
  <Characters>145180</Characters>
  <Application>Microsoft Office Word</Application>
  <DocSecurity>0</DocSecurity>
  <Lines>1209</Lines>
  <Paragraphs>340</Paragraphs>
  <ScaleCrop>false</ScaleCrop>
  <HeadingPairs>
    <vt:vector size="2" baseType="variant">
      <vt:variant>
        <vt:lpstr>Title</vt:lpstr>
      </vt:variant>
      <vt:variant>
        <vt:i4>1</vt:i4>
      </vt:variant>
    </vt:vector>
  </HeadingPairs>
  <TitlesOfParts>
    <vt:vector size="1" baseType="lpstr">
      <vt:lpstr/>
    </vt:vector>
  </TitlesOfParts>
  <Company>University of Oxford</Company>
  <LinksUpToDate>false</LinksUpToDate>
  <CharactersWithSpaces>170310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Tonner</dc:creator>
  <cp:keywords/>
  <dc:description/>
  <cp:lastModifiedBy>Ingrid</cp:lastModifiedBy>
  <cp:revision>2</cp:revision>
  <dcterms:created xsi:type="dcterms:W3CDTF">2022-08-11T16:26:00Z</dcterms:created>
  <dcterms:modified xsi:type="dcterms:W3CDTF">2022-08-11T16:26:00Z</dcterms:modified>
</cp:coreProperties>
</file>